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sz w:val="20"/>
          <w:szCs w:val="20"/>
          <w:u w:val="single"/>
        </w:rPr>
      </w:pPr>
      <w:r>
        <w:rPr>
          <w:rFonts w:ascii="Arial" w:hAnsi="Arial"/>
          <w:sz w:val="20"/>
          <w:szCs w:val="20"/>
          <w:u w:val="single"/>
        </w:rPr>
      </w:r>
      <w:bookmarkStart w:id="0" w:name="__DdeLink__5117_2332589330"/>
      <w:bookmarkStart w:id="1" w:name="__DdeLink__5117_2332589330"/>
      <w:bookmarkEnd w:id="1"/>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tbl>
      <w:tblPr>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trPr>
        <w:tc>
          <w:tcPr>
            <w:tcW w:w="3226" w:type="dxa"/>
            <w:tcBorders>
              <w:top w:val="single" w:sz="8" w:space="0" w:color="4F81BD"/>
              <w:bottom w:val="single" w:sz="8" w:space="0" w:color="4F81BD"/>
            </w:tcBorders>
            <w:shd w:color="auto" w:fill="548DD4" w:val="clear"/>
          </w:tcPr>
          <w:p>
            <w:pPr>
              <w:pStyle w:val="Normal"/>
              <w:widowControl w:val="false"/>
              <w:jc w:val="center"/>
              <w:rPr>
                <w:color w:val="FFFFFF"/>
                <w:sz w:val="28"/>
                <w:szCs w:val="28"/>
              </w:rPr>
            </w:pPr>
            <w:r>
              <w:rPr>
                <w:rFonts w:ascii="Arial" w:hAnsi="Arial"/>
                <w:color w:val="FFFFFF"/>
                <w:sz w:val="20"/>
                <w:szCs w:val="20"/>
              </w:rPr>
              <w:t xml:space="preserve">IES LA PUEBLA DE  </w:t>
            </w:r>
          </w:p>
          <w:p>
            <w:pPr>
              <w:pStyle w:val="Normal"/>
              <w:widowControl w:val="false"/>
              <w:spacing w:before="0" w:after="200"/>
              <w:jc w:val="center"/>
              <w:rPr>
                <w:u w:val="single"/>
              </w:rPr>
            </w:pPr>
            <w:r>
              <w:rPr>
                <w:rFonts w:ascii="Arial" w:hAnsi="Arial"/>
                <w:color w:val="FFFFFF"/>
                <w:sz w:val="20"/>
                <w:szCs w:val="20"/>
              </w:rPr>
              <w:t xml:space="preserve">             </w:t>
            </w:r>
            <w:r>
              <w:rPr>
                <w:rFonts w:ascii="Arial" w:hAnsi="Arial"/>
                <w:color w:val="FFFFFF"/>
                <w:sz w:val="20"/>
                <w:szCs w:val="20"/>
              </w:rPr>
              <w:t>ALFINDÉN</w:t>
            </w:r>
          </w:p>
        </w:tc>
        <w:tc>
          <w:tcPr>
            <w:tcW w:w="5252" w:type="dxa"/>
            <w:tcBorders>
              <w:top w:val="single" w:sz="8" w:space="0" w:color="4F81BD"/>
              <w:bottom w:val="single" w:sz="8" w:space="0" w:color="4F81BD"/>
            </w:tcBorders>
            <w:shd w:color="auto" w:fill="auto" w:val="clear"/>
          </w:tcPr>
          <w:p>
            <w:pPr>
              <w:pStyle w:val="Normal"/>
              <w:widowControl w:val="false"/>
              <w:tabs>
                <w:tab w:val="clear" w:pos="720"/>
                <w:tab w:val="center" w:pos="4252" w:leader="none"/>
                <w:tab w:val="right" w:pos="8504" w:leader="none"/>
              </w:tabs>
              <w:rPr>
                <w:color w:val="1F497D"/>
                <w:sz w:val="28"/>
                <w:szCs w:val="28"/>
              </w:rPr>
            </w:pPr>
            <w:r>
              <w:rPr>
                <w:rFonts w:ascii="Cambria" w:hAnsi="Cambria"/>
                <w:color w:val="1F497D"/>
                <w:sz w:val="22"/>
                <w:szCs w:val="22"/>
              </w:rPr>
              <w:t>PROGRAMACIÓN DIDÁCTICA DE (NOMBRE DE MATERIA)</w:t>
            </w:r>
          </w:p>
          <w:p>
            <w:pPr>
              <w:pStyle w:val="Normal"/>
              <w:widowControl w:val="false"/>
              <w:tabs>
                <w:tab w:val="clear" w:pos="720"/>
                <w:tab w:val="center" w:pos="4252" w:leader="none"/>
                <w:tab w:val="right" w:pos="8504" w:leader="none"/>
              </w:tabs>
              <w:rPr>
                <w:rFonts w:ascii="Cambria" w:hAnsi="Cambria"/>
                <w:color w:val="1F497D"/>
                <w:sz w:val="22"/>
                <w:szCs w:val="22"/>
              </w:rPr>
            </w:pPr>
            <w:r>
              <w:rPr>
                <w:rFonts w:ascii="Cambria" w:hAnsi="Cambria"/>
                <w:color w:val="1F497D"/>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color w:val="1F497D"/>
                <w:sz w:val="22"/>
                <w:szCs w:val="22"/>
              </w:rPr>
              <w:t>FÍSICA 2ºBCH</w:t>
            </w:r>
          </w:p>
          <w:p>
            <w:pPr>
              <w:pStyle w:val="Normal"/>
              <w:widowControl w:val="false"/>
              <w:tabs>
                <w:tab w:val="clear" w:pos="720"/>
                <w:tab w:val="center" w:pos="4252" w:leader="none"/>
                <w:tab w:val="right" w:pos="8504" w:leader="none"/>
              </w:tabs>
              <w:rPr>
                <w:rFonts w:ascii="Cambria" w:hAnsi="Cambria"/>
                <w:color w:val="1F497D"/>
                <w:sz w:val="22"/>
                <w:szCs w:val="22"/>
              </w:rPr>
            </w:pPr>
            <w:r>
              <w:rPr>
                <w:rFonts w:ascii="Cambria" w:hAnsi="Cambria"/>
                <w:color w:val="1F497D"/>
                <w:sz w:val="22"/>
                <w:szCs w:val="22"/>
              </w:rPr>
            </w:r>
          </w:p>
          <w:p>
            <w:pPr>
              <w:pStyle w:val="Normal"/>
              <w:widowControl w:val="false"/>
              <w:tabs>
                <w:tab w:val="clear" w:pos="720"/>
                <w:tab w:val="center" w:pos="4252" w:leader="none"/>
                <w:tab w:val="right" w:pos="8504" w:leader="none"/>
              </w:tabs>
              <w:rPr/>
            </w:pPr>
            <w:bookmarkStart w:id="2" w:name="_heading=h.gjdgxs"/>
            <w:bookmarkEnd w:id="2"/>
            <w:r>
              <w:rPr>
                <w:rFonts w:ascii="Cambria" w:hAnsi="Cambria"/>
                <w:color w:val="1F497D"/>
                <w:sz w:val="22"/>
                <w:szCs w:val="22"/>
              </w:rPr>
              <w:t>CURSO 2025-2026</w:t>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tabs>
                <w:tab w:val="clear" w:pos="720"/>
                <w:tab w:val="center" w:pos="4252" w:leader="none"/>
                <w:tab w:val="right" w:pos="8504" w:leader="none"/>
              </w:tabs>
              <w:rPr>
                <w:rFonts w:ascii="Cambria" w:hAnsi="Cambria"/>
                <w:sz w:val="22"/>
                <w:szCs w:val="22"/>
              </w:rPr>
            </w:pPr>
            <w:r>
              <w:rPr>
                <w:rFonts w:ascii="Cambria" w:hAnsi="Cambria"/>
                <w:sz w:val="22"/>
                <w:szCs w:val="22"/>
              </w:rPr>
            </w:r>
          </w:p>
          <w:p>
            <w:pPr>
              <w:pStyle w:val="Normal"/>
              <w:widowControl w:val="false"/>
              <w:spacing w:before="0" w:after="200"/>
              <w:rPr>
                <w:rFonts w:ascii="Cambria" w:hAnsi="Cambria"/>
                <w:sz w:val="22"/>
                <w:szCs w:val="22"/>
                <w:u w:val="single"/>
              </w:rPr>
            </w:pPr>
            <w:r>
              <w:rPr>
                <w:rFonts w:ascii="Cambria" w:hAnsi="Cambria"/>
                <w:sz w:val="22"/>
                <w:szCs w:val="22"/>
                <w:u w:val="single"/>
              </w:rPr>
            </w:r>
          </w:p>
        </w:tc>
      </w:tr>
    </w:tbl>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rPr>
          <w:rFonts w:ascii="Arial" w:hAnsi="Arial"/>
          <w:b/>
          <w:b/>
          <w:sz w:val="20"/>
          <w:szCs w:val="20"/>
          <w:u w:val="single"/>
        </w:rPr>
      </w:pPr>
      <w:r>
        <w:rPr>
          <w:rFonts w:ascii="Arial" w:hAnsi="Arial"/>
          <w:b/>
          <w:sz w:val="20"/>
          <w:szCs w:val="20"/>
          <w:u w:val="single"/>
        </w:rPr>
      </w:r>
    </w:p>
    <w:p>
      <w:pPr>
        <w:pStyle w:val="Normal"/>
        <w:jc w:val="both"/>
        <w:rPr>
          <w:rFonts w:ascii="Cambria" w:hAnsi="Cambria" w:eastAsia="Cambria" w:cs="Cambria"/>
          <w:b/>
          <w:b/>
          <w:u w:val="single"/>
        </w:rPr>
      </w:pPr>
      <w:r>
        <w:br w:type="column"/>
      </w:r>
      <w:r>
        <w:rPr>
          <w:rFonts w:eastAsia="Cambria" w:cs="Cambria"/>
          <w:b/>
          <w:sz w:val="22"/>
          <w:szCs w:val="22"/>
          <w:u w:val="single"/>
        </w:rPr>
        <w:t>ÍNDICE</w:t>
      </w:r>
    </w:p>
    <w:p>
      <w:pPr>
        <w:pStyle w:val="Normal"/>
        <w:jc w:val="both"/>
        <w:rPr>
          <w:rFonts w:ascii="Cambria" w:hAnsi="Cambria" w:eastAsia="Cambria" w:cs="Cambria"/>
        </w:rPr>
      </w:pPr>
      <w:r>
        <w:rPr>
          <w:rFonts w:eastAsia="Cambria" w:cs="Cambria"/>
          <w:sz w:val="22"/>
          <w:szCs w:val="22"/>
        </w:rPr>
        <w:t>INTRODUCCIÓN</w:t>
      </w:r>
    </w:p>
    <w:p>
      <w:pPr>
        <w:pStyle w:val="Normal"/>
        <w:jc w:val="both"/>
        <w:rPr>
          <w:rFonts w:ascii="Cambria" w:hAnsi="Cambria" w:eastAsia="Cambria" w:cs="Cambria"/>
        </w:rPr>
      </w:pPr>
      <w:r>
        <w:rPr>
          <w:rFonts w:eastAsia="Cambria" w:cs="Cambria"/>
          <w:sz w:val="22"/>
          <w:szCs w:val="22"/>
        </w:rPr>
        <w:t>1. COMPETENCIAS ESPECÍFICAS Y CRITERIOS DE EVALUACIÓN ASOCIADOS A ELLAS</w:t>
      </w:r>
    </w:p>
    <w:p>
      <w:pPr>
        <w:pStyle w:val="Normal"/>
        <w:jc w:val="both"/>
        <w:rPr>
          <w:rFonts w:ascii="Cambria" w:hAnsi="Cambria" w:eastAsia="Cambria" w:cs="Cambria"/>
        </w:rPr>
      </w:pPr>
      <w:r>
        <w:rPr>
          <w:rFonts w:eastAsia="Cambria" w:cs="Cambria"/>
          <w:sz w:val="22"/>
          <w:szCs w:val="22"/>
        </w:rPr>
        <w:t>2. CONCRECIÓN, AGRUPAMIENTO Y SECUENCIACIÓN DE LOS SABERES BÁSICOS Y DE LOS CRITERIOS DE EVALUACIÓN EN UNIDADES DIDÁCTICAS</w:t>
      </w:r>
    </w:p>
    <w:p>
      <w:pPr>
        <w:pStyle w:val="Normal"/>
        <w:jc w:val="both"/>
        <w:rPr>
          <w:rFonts w:ascii="Cambria" w:hAnsi="Cambria" w:eastAsia="Cambria" w:cs="Cambria"/>
        </w:rPr>
      </w:pPr>
      <w:r>
        <w:rPr>
          <w:rFonts w:eastAsia="Cambria" w:cs="Cambria"/>
          <w:sz w:val="22"/>
          <w:szCs w:val="22"/>
        </w:rPr>
        <w:t>3. PROCEDIMIENTOS E INSTRUMENTOS DE EVALUACIÓN</w:t>
      </w:r>
    </w:p>
    <w:p>
      <w:pPr>
        <w:pStyle w:val="Normal"/>
        <w:jc w:val="both"/>
        <w:rPr>
          <w:rFonts w:ascii="Cambria" w:hAnsi="Cambria" w:eastAsia="Cambria" w:cs="Cambria"/>
        </w:rPr>
      </w:pPr>
      <w:r>
        <w:rPr>
          <w:rFonts w:eastAsia="Cambria" w:cs="Cambria"/>
          <w:sz w:val="22"/>
          <w:szCs w:val="22"/>
        </w:rPr>
        <w:t>4. CRITERIOS DE CALIFICACIÓN</w:t>
      </w:r>
    </w:p>
    <w:p>
      <w:pPr>
        <w:pStyle w:val="Normal"/>
        <w:jc w:val="both"/>
        <w:rPr/>
      </w:pPr>
      <w:r>
        <w:rPr>
          <w:rFonts w:eastAsia="Cambria" w:cs="Cambria"/>
          <w:sz w:val="22"/>
          <w:szCs w:val="22"/>
        </w:rPr>
        <w:t xml:space="preserve">5. </w:t>
      </w:r>
      <w:r>
        <w:rPr>
          <w:rFonts w:eastAsia="Cambria" w:cs="Cambria"/>
          <w:sz w:val="22"/>
          <w:szCs w:val="22"/>
        </w:rPr>
        <w:t>EVALUACIÓN INICIAL</w:t>
      </w:r>
    </w:p>
    <w:p>
      <w:pPr>
        <w:pStyle w:val="Normal"/>
        <w:jc w:val="both"/>
        <w:rPr>
          <w:rFonts w:ascii="Calibri" w:hAnsi="Calibri"/>
        </w:rPr>
      </w:pPr>
      <w:r>
        <w:rPr>
          <w:rFonts w:eastAsia="Cambria" w:cs="Cambria"/>
          <w:sz w:val="22"/>
          <w:szCs w:val="22"/>
        </w:rPr>
        <w:t>6. EVALUACIÓN EXTRAORDINARIA</w:t>
      </w:r>
    </w:p>
    <w:p>
      <w:pPr>
        <w:pStyle w:val="Normal"/>
        <w:jc w:val="both"/>
        <w:rPr/>
      </w:pPr>
      <w:r>
        <w:rPr>
          <w:rFonts w:eastAsia="Cambria" w:cs="Cambria"/>
          <w:sz w:val="22"/>
          <w:szCs w:val="22"/>
        </w:rPr>
        <w:t>7. ACTUACIONES GENERALES</w:t>
      </w:r>
      <w:r>
        <w:rPr>
          <w:rFonts w:eastAsia="Cambria" w:cs="Cambria"/>
          <w:sz w:val="22"/>
          <w:szCs w:val="22"/>
        </w:rPr>
        <w:t xml:space="preserve"> DE ATENCIÓN A LAS DIFERENCIAS INDIVIDUALES Y ADAPTACIONES CURRICULARES </w:t>
      </w:r>
    </w:p>
    <w:p>
      <w:pPr>
        <w:pStyle w:val="Normal"/>
        <w:jc w:val="both"/>
        <w:rPr/>
      </w:pPr>
      <w:r>
        <w:rPr>
          <w:rFonts w:eastAsia="Cambria" w:cs="Cambria"/>
          <w:sz w:val="22"/>
          <w:szCs w:val="22"/>
        </w:rPr>
        <w:t>8. PLAN DE SEGUIMIENTO PARA EL ALUMNADO QUE NO HA PROMOCIONADO</w:t>
      </w:r>
    </w:p>
    <w:p>
      <w:pPr>
        <w:pStyle w:val="Normal"/>
        <w:jc w:val="both"/>
        <w:rPr/>
      </w:pPr>
      <w:r>
        <w:rPr>
          <w:rFonts w:eastAsia="Cambria" w:cs="Cambria"/>
          <w:sz w:val="22"/>
          <w:szCs w:val="22"/>
        </w:rPr>
        <w:t>9. PLAN DE REFUERZO PARA MATERIAS O ÁMBITOS NO SUPERADOS</w:t>
      </w:r>
    </w:p>
    <w:p>
      <w:pPr>
        <w:pStyle w:val="Normal"/>
        <w:jc w:val="both"/>
        <w:rPr/>
      </w:pPr>
      <w:r>
        <w:rPr>
          <w:rFonts w:eastAsia="Cambria" w:cs="Cambria"/>
          <w:sz w:val="22"/>
          <w:szCs w:val="22"/>
        </w:rPr>
        <w:t>10. ESTRATEGIAS DIDÁCTICAS Y METODOLÓGICAS</w:t>
      </w:r>
    </w:p>
    <w:p>
      <w:pPr>
        <w:pStyle w:val="Normal"/>
        <w:jc w:val="both"/>
        <w:rPr/>
      </w:pPr>
      <w:r>
        <w:rPr>
          <w:rFonts w:eastAsia="Cambria" w:cs="Cambria"/>
          <w:sz w:val="22"/>
          <w:szCs w:val="22"/>
        </w:rPr>
        <w:t>12. CONCRECIÓN DEL PLAN DE IMPLEMENTACIÓN DE ELEMENTOS TRANSVERSALES</w:t>
      </w:r>
    </w:p>
    <w:p>
      <w:pPr>
        <w:pStyle w:val="Normal"/>
        <w:jc w:val="both"/>
        <w:rPr/>
      </w:pPr>
      <w:r>
        <w:rPr>
          <w:rFonts w:eastAsia="Cambria" w:cs="Cambria"/>
          <w:sz w:val="22"/>
          <w:szCs w:val="22"/>
        </w:rPr>
        <w:t>13. CO</w:t>
      </w:r>
      <w:r>
        <w:rPr>
          <w:rFonts w:eastAsia="Cambria" w:cs="Cambria"/>
          <w:sz w:val="22"/>
          <w:szCs w:val="22"/>
        </w:rPr>
        <w:t xml:space="preserve">NCRECIÓN DEL PLAN DE UTILIZACIÓN DE LAS TECNOLOGÍAS DIGITALES </w:t>
      </w:r>
    </w:p>
    <w:p>
      <w:pPr>
        <w:pStyle w:val="Normal"/>
        <w:jc w:val="both"/>
        <w:rPr>
          <w:rFonts w:ascii="Calibri" w:hAnsi="Calibri"/>
        </w:rPr>
      </w:pPr>
      <w:r>
        <w:rPr>
          <w:rFonts w:eastAsia="Cambria" w:cs="Cambria"/>
          <w:sz w:val="22"/>
          <w:szCs w:val="22"/>
        </w:rPr>
        <w:t>14. CONCRECIÓN DEL PLAN</w:t>
      </w:r>
    </w:p>
    <w:p>
      <w:pPr>
        <w:pStyle w:val="Normal"/>
        <w:jc w:val="both"/>
        <w:rPr/>
      </w:pPr>
      <w:r>
        <w:rPr>
          <w:rFonts w:eastAsia="Cambria" w:cs="Cambria"/>
          <w:sz w:val="22"/>
          <w:szCs w:val="22"/>
        </w:rPr>
        <w:t>15. MECANISMOS DE REV</w:t>
      </w:r>
      <w:r>
        <w:rPr>
          <w:rFonts w:eastAsia="Cambria" w:cs="Cambria"/>
          <w:sz w:val="22"/>
          <w:szCs w:val="22"/>
        </w:rPr>
        <w:t>ISIÓN, EVALUACIÓN Y MODIFICACIÓN DE LAS PROGRAMACIONES DIDÁCTICAS</w:t>
      </w:r>
    </w:p>
    <w:p>
      <w:pPr>
        <w:pStyle w:val="Normal"/>
        <w:jc w:val="both"/>
        <w:rPr/>
      </w:pPr>
      <w:r>
        <w:rPr>
          <w:rFonts w:eastAsia="Cambria" w:cs="Cambria"/>
          <w:sz w:val="22"/>
          <w:szCs w:val="22"/>
        </w:rPr>
        <w:t>16. ACTIVIDADES COMPLEMENTARIAS Y EXTRAESCOLARES</w:t>
      </w:r>
    </w:p>
    <w:p>
      <w:pPr>
        <w:pStyle w:val="Normal"/>
        <w:jc w:val="both"/>
        <w:rPr/>
      </w:pPr>
      <w:r>
        <w:rPr>
          <w:rFonts w:eastAsia="Cambria" w:cs="Cambria"/>
          <w:smallCaps/>
          <w:sz w:val="22"/>
          <w:szCs w:val="22"/>
        </w:rPr>
        <w:t>17. FORMA EN LA QUE SE DAN A CONOCER LOS ASPECTOS RELEVANTES DE ESTA PROGRAMACIÓN AL ALUMNADO Y LAS FAMILIAS</w:t>
      </w:r>
    </w:p>
    <w:p>
      <w:pPr>
        <w:pStyle w:val="Normal"/>
        <w:jc w:val="both"/>
        <w:rPr>
          <w:rFonts w:ascii="Cambria" w:hAnsi="Cambria" w:eastAsia="Cambria" w:cs="Cambria"/>
        </w:rPr>
      </w:pPr>
      <w:r>
        <w:rPr>
          <w:rFonts w:eastAsia="Cambria" w:cs="Cambria"/>
          <w:sz w:val="22"/>
          <w:szCs w:val="22"/>
        </w:rPr>
        <w:t>17. OTRAS CONSIDERACIONES</w:t>
      </w:r>
    </w:p>
    <w:p>
      <w:pPr>
        <w:pStyle w:val="Normal"/>
        <w:jc w:val="both"/>
        <w:rPr>
          <w:rFonts w:ascii="Cambria" w:hAnsi="Cambria" w:eastAsia="Cambria" w:cs="Cambria"/>
          <w:b/>
          <w:b/>
          <w:u w:val="single"/>
        </w:rPr>
      </w:pPr>
      <w:r>
        <w:br w:type="column"/>
      </w:r>
      <w:r>
        <w:rPr>
          <w:rFonts w:eastAsia="Cambria" w:cs="Cambria"/>
          <w:b/>
          <w:sz w:val="22"/>
          <w:szCs w:val="22"/>
          <w:u w:val="single"/>
        </w:rPr>
        <w:t>INTRODUCCIÓN</w:t>
      </w:r>
    </w:p>
    <w:p>
      <w:pPr>
        <w:pStyle w:val="Normal"/>
        <w:jc w:val="both"/>
        <w:rPr>
          <w:rFonts w:ascii="Cambria" w:hAnsi="Cambria"/>
        </w:rPr>
      </w:pPr>
      <w:r>
        <w:rPr>
          <w:rFonts w:eastAsia="Cambria" w:cs="Cambria"/>
          <w:sz w:val="22"/>
          <w:szCs w:val="22"/>
        </w:rPr>
        <w:t xml:space="preserve">Programación Didáctica de Física de 2º de Bachillerato </w:t>
      </w:r>
    </w:p>
    <w:p>
      <w:pPr>
        <w:pStyle w:val="Normal"/>
        <w:jc w:val="both"/>
        <w:rPr>
          <w:rFonts w:ascii="Cambria" w:hAnsi="Cambria"/>
        </w:rPr>
      </w:pPr>
      <w:r>
        <w:rPr>
          <w:rFonts w:eastAsia="Cambria" w:cs="Cambria"/>
          <w:sz w:val="22"/>
          <w:szCs w:val="22"/>
        </w:rPr>
        <w:t>La normativa básica para la elaboración de esta programación es:</w:t>
      </w:r>
    </w:p>
    <w:p>
      <w:pPr>
        <w:pStyle w:val="Normal"/>
        <w:jc w:val="both"/>
        <w:rPr>
          <w:rFonts w:ascii="Cambria" w:hAnsi="Cambria"/>
        </w:rPr>
      </w:pPr>
      <w:r>
        <w:rPr>
          <w:sz w:val="22"/>
          <w:szCs w:val="22"/>
        </w:rPr>
        <w:t>La normativa básica para la elaboración de esta programación es la siguiente:</w:t>
      </w:r>
    </w:p>
    <w:p>
      <w:pPr>
        <w:pStyle w:val="Estiloparrafos"/>
        <w:spacing w:before="0" w:after="120"/>
        <w:ind w:left="720" w:hanging="0"/>
        <w:rPr>
          <w:rFonts w:ascii="Calibri" w:hAnsi="Calibri"/>
          <w:sz w:val="22"/>
          <w:szCs w:val="22"/>
        </w:rPr>
      </w:pPr>
      <w:r>
        <w:rPr>
          <w:rFonts w:ascii="Calibri" w:hAnsi="Calibri"/>
          <w:sz w:val="22"/>
          <w:szCs w:val="22"/>
        </w:rPr>
        <w:t>Ley Orgánica 2/2006, de 3 de mayo, de Educación.</w:t>
      </w:r>
    </w:p>
    <w:p>
      <w:pPr>
        <w:pStyle w:val="Estiloparrafos"/>
        <w:spacing w:before="0" w:after="120"/>
        <w:ind w:left="720" w:hanging="0"/>
        <w:rPr/>
      </w:pPr>
      <w:hyperlink r:id="rId2">
        <w:r>
          <w:rPr>
            <w:rStyle w:val="EnlacedeInternet"/>
            <w:rFonts w:eastAsia="Cambria" w:cs="Cambria" w:ascii="Calibri" w:hAnsi="Calibri"/>
            <w:i/>
            <w:color w:val="000000"/>
            <w:sz w:val="22"/>
            <w:szCs w:val="22"/>
            <w:u w:val="none"/>
          </w:rPr>
          <w:t>Real Decreto 243/2022, de 5 de abril, por el que se establece la ordenación y las enseñanzas mínimas del Bachillerato.</w:t>
        </w:r>
      </w:hyperlink>
    </w:p>
    <w:p>
      <w:pPr>
        <w:pStyle w:val="Normal"/>
        <w:jc w:val="both"/>
        <w:rPr>
          <w:rFonts w:ascii="Cambria" w:hAnsi="Cambria"/>
        </w:rPr>
      </w:pPr>
      <w:r>
        <w:rPr>
          <w:rFonts w:eastAsia="Cambria" w:cs="Cambria"/>
          <w:b/>
          <w:sz w:val="22"/>
          <w:szCs w:val="22"/>
          <w:u w:val="single"/>
        </w:rPr>
        <w:t>1. COMPETENCIAS ESPECÍFICAS Y CRITERIOS DE EVALUACIÓN ASOCIADOS A ELLAS</w:t>
      </w:r>
    </w:p>
    <w:p>
      <w:pPr>
        <w:pStyle w:val="Ttulo1"/>
        <w:rPr>
          <w:rFonts w:ascii="Cambria" w:hAnsi="Cambria"/>
          <w:sz w:val="22"/>
          <w:szCs w:val="22"/>
        </w:rPr>
      </w:pPr>
      <w:r>
        <w:rPr>
          <w:sz w:val="22"/>
          <w:szCs w:val="22"/>
        </w:rPr>
        <w:t>I. Competencias específicas</w:t>
      </w:r>
    </w:p>
    <w:p>
      <w:pPr>
        <w:pStyle w:val="Ttulo2"/>
        <w:rPr>
          <w:rFonts w:ascii="Cambria" w:hAnsi="Cambria"/>
          <w:sz w:val="22"/>
          <w:szCs w:val="22"/>
        </w:rPr>
      </w:pPr>
      <w:r>
        <w:rPr>
          <w:sz w:val="22"/>
          <w:szCs w:val="22"/>
        </w:rPr>
        <w:t>Competencia específica de la materia Física 1:</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Cambria" w:hAnsi="Cambria"/>
        </w:rPr>
      </w:pPr>
      <w:r>
        <w:rPr>
          <w:b/>
          <w:sz w:val="22"/>
          <w:szCs w:val="22"/>
        </w:rPr>
        <w:t xml:space="preserve">CE.F.1. </w:t>
      </w:r>
      <w:r>
        <w:rPr>
          <w:sz w:val="22"/>
          <w:szCs w:val="22"/>
        </w:rPr>
        <w:t>Utilizar las teorías, principios y leyes que rigen los procesos físicos más importantes, considerando su base experimental y desarrollo matemático en la resolución de problemas, para reconocer la Física como una ciencia relevante implicada en el desarrollo de la tecnología, de la economía, de la sociedad y la sostenibilidad ambiental.</w:t>
      </w:r>
    </w:p>
    <w:p>
      <w:pPr>
        <w:pStyle w:val="Ttulo3"/>
        <w:rPr>
          <w:rFonts w:ascii="Cambria" w:hAnsi="Cambria"/>
          <w:sz w:val="22"/>
          <w:szCs w:val="22"/>
        </w:rPr>
      </w:pPr>
      <w:r>
        <w:rPr>
          <w:sz w:val="22"/>
          <w:szCs w:val="22"/>
        </w:rPr>
        <w:t>Descripción</w:t>
      </w:r>
    </w:p>
    <w:p>
      <w:pPr>
        <w:pStyle w:val="Normal"/>
        <w:rPr>
          <w:rFonts w:ascii="Cambria" w:hAnsi="Cambria"/>
        </w:rPr>
      </w:pPr>
      <w:r>
        <w:rPr>
          <w:sz w:val="22"/>
          <w:szCs w:val="22"/>
        </w:rPr>
        <w:t>Utilizar los principios, leyes y teorías de la Física requiere de un amplio conocimiento de sus fundamentos teóricos. La capacidad de comprender y describir, a través de la experimentación o la utilización de desarrollos matemáticos, las interacciones que se producen entre cuerpos y sistemas en la naturaleza permite, a su vez, desarrollar el pensamiento científico para construir nuevo conocimiento aplicado a la resolución de problemas en los distintos contextos en los que interviene la Física. Esto implica apreciar la Física como un campo del saber con importantes implicaciones en la tecnología, la economía, la sociedad y la sostenibilidad ambiental.</w:t>
      </w:r>
    </w:p>
    <w:p>
      <w:pPr>
        <w:pStyle w:val="Normal"/>
        <w:rPr>
          <w:rFonts w:ascii="Cambria" w:hAnsi="Cambria"/>
        </w:rPr>
      </w:pPr>
      <w:r>
        <w:rPr>
          <w:sz w:val="22"/>
          <w:szCs w:val="22"/>
        </w:rPr>
        <w:t>De esta forma, a partir de la comprensión de las implicaciones de la Física en otros campos de la vida cotidiana, se adquiere la capacidad de formarse una opinión fundamentada sobre las situaciones que afectan a cada contexto, lo que es necesario para desarrollar un pensamiento crítico y una actitud de contribuir al progreso a través del conocimiento científico adquirido, aportando soluciones sostenibles.</w:t>
      </w:r>
    </w:p>
    <w:p>
      <w:pPr>
        <w:pStyle w:val="Ttulo3"/>
        <w:rPr>
          <w:rFonts w:ascii="Cambria" w:hAnsi="Cambria"/>
          <w:sz w:val="22"/>
          <w:szCs w:val="22"/>
        </w:rPr>
      </w:pPr>
      <w:r>
        <w:rPr>
          <w:sz w:val="22"/>
          <w:szCs w:val="22"/>
        </w:rPr>
        <w:t>Vinculación con otras competencias</w:t>
      </w:r>
    </w:p>
    <w:p>
      <w:pPr>
        <w:pStyle w:val="Normal"/>
        <w:rPr>
          <w:rFonts w:ascii="Cambria" w:hAnsi="Cambria"/>
        </w:rPr>
      </w:pPr>
      <w:r>
        <w:rPr>
          <w:sz w:val="22"/>
          <w:szCs w:val="22"/>
        </w:rPr>
        <w:t>Esta competencia junto con la CE.F.2. ponen de relieve el papel fundamental de la Física como ciencia que pretende dar respuesta a los fenómenos físicos de la naturaleza y a la aplicación de los mismos en el desarrollo de la tecnología. Esta competencia no se puede desarrollar en plenitud si no se tiene en cuenta la CE.F.6., ya que este curso realiza una recopilación de los conocimientos físicos que el ser humano ha realizado en su recorrido histórico, quedando patente la importancia de los mismos en el desarrollo de la sociedad actual.</w:t>
      </w:r>
    </w:p>
    <w:p>
      <w:pPr>
        <w:pStyle w:val="Normal"/>
        <w:rPr>
          <w:rFonts w:ascii="Cambria" w:hAnsi="Cambria"/>
        </w:rPr>
      </w:pPr>
      <w:r>
        <w:rPr>
          <w:sz w:val="22"/>
          <w:szCs w:val="22"/>
        </w:rPr>
        <w:t>La materia de Física tiene vinculación con el desarrollo de la mayoría de materias científicas de la etapa y por ello se relaciona con muchas otras competencias específicas de otras materias. Su vinculación tal vez sea más estrecha con competencias específicas de la materia de Química, como la CE.Q.1, al trabajar con leyes y teorías que implican a ambos campos de estudio.  Por la presencia de las herramientas matemáticas en su desarrollo también se vincula con varias competencias específicas de la materia de Matemáticas, como la CE.M.1 y 2., la resolución de problemas de la vida diaria utilizando diferentes estrategias y formas de resolverlos y la verificación de la validez de los resultados.</w:t>
      </w:r>
    </w:p>
    <w:p>
      <w:pPr>
        <w:pStyle w:val="Ttulo3"/>
        <w:rPr>
          <w:rFonts w:ascii="Cambria" w:hAnsi="Cambria"/>
          <w:sz w:val="22"/>
          <w:szCs w:val="22"/>
        </w:rPr>
      </w:pPr>
      <w:r>
        <w:rPr>
          <w:sz w:val="22"/>
          <w:szCs w:val="22"/>
        </w:rPr>
        <w:t>Vinculación con los descriptores de las competencias clave</w:t>
      </w:r>
    </w:p>
    <w:p>
      <w:pPr>
        <w:pStyle w:val="Normal"/>
        <w:rPr>
          <w:rFonts w:ascii="Cambria" w:hAnsi="Cambria"/>
        </w:rPr>
      </w:pPr>
      <w:r>
        <w:rPr>
          <w:sz w:val="22"/>
          <w:szCs w:val="22"/>
        </w:rPr>
        <w:t>Esta competencia específica se conecta con los siguientes descriptores: STEM1, STEM2, STEM3, CD5.</w:t>
      </w:r>
    </w:p>
    <w:p>
      <w:pPr>
        <w:pStyle w:val="Ttulo2"/>
        <w:rPr>
          <w:rFonts w:ascii="Cambria" w:hAnsi="Cambria"/>
          <w:sz w:val="22"/>
          <w:szCs w:val="22"/>
        </w:rPr>
      </w:pPr>
      <w:r>
        <w:rPr>
          <w:sz w:val="22"/>
          <w:szCs w:val="22"/>
        </w:rPr>
        <w:t>Competencia específica de la materia Física 2:</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Cambria" w:hAnsi="Cambria"/>
        </w:rPr>
      </w:pPr>
      <w:r>
        <w:rPr>
          <w:b/>
          <w:sz w:val="22"/>
          <w:szCs w:val="22"/>
        </w:rPr>
        <w:t xml:space="preserve">CE.F.2. </w:t>
      </w:r>
      <w:r>
        <w:rPr>
          <w:sz w:val="22"/>
          <w:szCs w:val="22"/>
        </w:rPr>
        <w:t>Adoptar los modelos, teorías y leyes aceptados de la Física como base de estudio de los sistemas naturales y predecir su evolución para inferir soluciones generales a los problemas cotidianos relacionados con las aplicaciones prácticas demandadas por la sociedad en el campo tecnológico, industrial y biosanitario.</w:t>
      </w:r>
    </w:p>
    <w:p>
      <w:pPr>
        <w:pStyle w:val="Ttulo3"/>
        <w:rPr>
          <w:rFonts w:ascii="Cambria" w:hAnsi="Cambria"/>
          <w:sz w:val="22"/>
          <w:szCs w:val="22"/>
        </w:rPr>
      </w:pPr>
      <w:r>
        <w:rPr>
          <w:sz w:val="22"/>
          <w:szCs w:val="22"/>
        </w:rPr>
        <w:t>Descripción</w:t>
      </w:r>
    </w:p>
    <w:p>
      <w:pPr>
        <w:pStyle w:val="Normal"/>
        <w:rPr>
          <w:rFonts w:ascii="Cambria" w:hAnsi="Cambria"/>
        </w:rPr>
      </w:pPr>
      <w:r>
        <w:rPr>
          <w:sz w:val="22"/>
          <w:szCs w:val="22"/>
        </w:rPr>
        <w:t>El estudio de la Física, como ciencia de la naturaleza, debe proveer de la capacidad para analizar fenómenos que se producen en el entorno natural. Para ello, es necesario adoptar los modelos, teorías y leyes que forman los pilares fundamentales de este campo de conocimiento, y que a su vez permiten predecir la evolución de los sistemas y objetos naturales. Al mismo tiempo, esta adopción se produce cuando se desarrolla la capacidad de relacionar los fenómenos observados en situaciones cotidianas con los fundamentos y principios de la Física.</w:t>
      </w:r>
    </w:p>
    <w:p>
      <w:pPr>
        <w:pStyle w:val="Normal"/>
        <w:rPr>
          <w:rFonts w:ascii="Cambria" w:hAnsi="Cambria"/>
        </w:rPr>
      </w:pPr>
      <w:r>
        <w:rPr>
          <w:sz w:val="22"/>
          <w:szCs w:val="22"/>
        </w:rPr>
        <w:t>Así, a partir del análisis de diversas situaciones particulares se adquiere la capacidad de inferir soluciones generales a los problemas cotidianos y que pueden redundar en aplicaciones prácticas necesarias para la sociedad y que darán lugar a productos y beneficios a través de su desarrollo desde el campo tecnológico, industrial o biosanitario.</w:t>
      </w:r>
    </w:p>
    <w:p>
      <w:pPr>
        <w:pStyle w:val="Ttulo3"/>
        <w:rPr>
          <w:rFonts w:ascii="Cambria" w:hAnsi="Cambria"/>
          <w:sz w:val="22"/>
          <w:szCs w:val="22"/>
        </w:rPr>
      </w:pPr>
      <w:r>
        <w:rPr>
          <w:sz w:val="22"/>
          <w:szCs w:val="22"/>
        </w:rPr>
        <w:t>Vinculación con otras competencias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Esta competencia junto con la CE.F.1., ponen de relieve el papel clave de la Física como una ciencia que pretende dar respuesta a los fenómenos físicos de la naturaleza y sus posibles aplicaciones en la mejora de la sociedad desde el punto de vista del desarrollo tecnológico. En este sentido, no se puede entender esta competencia sin tener en cuenta la CE.F.6., ya que, esta asignatura realiza un recorrido histórico en el desarrollo del conocimiento físico del universo y sus aplicaciones tecnológicas en la sociedad. </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La materia de Física tiene vinculación con el desarrollo de la mayoría de materias científicas de la etapa y por ello se relaciona con muchas otras competencias específicas de otras materias. Su vinculación tal vez sea más estrecha con competencias específicas de la materia de Química, como la CE.Q.2, en la que se sugiere la adopción de los modelos, teorías y leyes aceptados como base de estudio de los sistemas naturales para inferir soluciones generales a problemas cotidianos. Por otro lado, también tiene vinculación con la CE.B.4. de la materia de Biología, al requerirse un pensamiento lógico-formal ante el planteamiento de hipótesis, el diseño experimental y la interpretación de resultados. Por último, también existe vinculación con las competencias de Matemáticas que vinculan la utilización de distintas formas de razonamiento lógico-matemático en la resolución de problemas.</w:t>
      </w:r>
    </w:p>
    <w:p>
      <w:pPr>
        <w:pStyle w:val="Ttulo3"/>
        <w:rPr>
          <w:rFonts w:ascii="Cambria" w:hAnsi="Cambria"/>
          <w:sz w:val="22"/>
          <w:szCs w:val="22"/>
        </w:rPr>
      </w:pPr>
      <w:r>
        <w:rPr>
          <w:sz w:val="22"/>
          <w:szCs w:val="22"/>
        </w:rPr>
        <w:t>Vinculación con los descriptores de las competencias clave</w:t>
      </w:r>
    </w:p>
    <w:p>
      <w:pPr>
        <w:pStyle w:val="Normal"/>
        <w:rPr>
          <w:rFonts w:ascii="Cambria" w:hAnsi="Cambria"/>
        </w:rPr>
      </w:pPr>
      <w:r>
        <w:rPr>
          <w:sz w:val="22"/>
          <w:szCs w:val="22"/>
        </w:rPr>
        <w:t>Esta competencia específica se conecta con los siguientes descriptores: STEM2, STEM5, CPSAA3, CC4.</w:t>
      </w:r>
    </w:p>
    <w:p>
      <w:pPr>
        <w:pStyle w:val="Ttulo2"/>
        <w:rPr>
          <w:rFonts w:ascii="Cambria" w:hAnsi="Cambria"/>
          <w:sz w:val="22"/>
          <w:szCs w:val="22"/>
        </w:rPr>
      </w:pPr>
      <w:r>
        <w:rPr>
          <w:sz w:val="22"/>
          <w:szCs w:val="22"/>
        </w:rPr>
        <w:t>Competencia específica de la materia Física 3:</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Cambria" w:hAnsi="Cambria"/>
        </w:rPr>
      </w:pPr>
      <w:r>
        <w:rPr>
          <w:b/>
          <w:sz w:val="22"/>
          <w:szCs w:val="22"/>
        </w:rPr>
        <w:t xml:space="preserve">CE.F.3. </w:t>
      </w:r>
      <w:r>
        <w:rPr>
          <w:sz w:val="22"/>
          <w:szCs w:val="22"/>
        </w:rPr>
        <w:t>Utilizar el lenguaje de la Física con la formulación matemática de sus principios, magnitudes, unidades, ecuaciones, etc., para establecer una comunicación adecuada entre diferentes comunidades científicas y como una herramienta fundamental en la investigación.</w:t>
      </w:r>
    </w:p>
    <w:p>
      <w:pPr>
        <w:pStyle w:val="Ttulo3"/>
        <w:rPr>
          <w:rFonts w:ascii="Cambria" w:hAnsi="Cambria"/>
          <w:sz w:val="22"/>
          <w:szCs w:val="22"/>
        </w:rPr>
      </w:pPr>
      <w:r>
        <w:rPr>
          <w:sz w:val="22"/>
          <w:szCs w:val="22"/>
        </w:rPr>
        <w:t>Descripción</w:t>
      </w:r>
    </w:p>
    <w:p>
      <w:pPr>
        <w:pStyle w:val="Normal"/>
        <w:rPr>
          <w:rFonts w:ascii="Cambria" w:hAnsi="Cambria"/>
        </w:rPr>
      </w:pPr>
      <w:r>
        <w:rPr>
          <w:sz w:val="22"/>
          <w:szCs w:val="22"/>
        </w:rPr>
        <w:t>El desarrollo de esta competencia específica pretende trasladar a los alumnos y a las alumnas un conjunto de criterios para el uso de formalismos con base científica, con la finalidad de poder plantear y discutir adecuadamente la resolución de problemas de Física y discutir sus aplicaciones en el mundo a su alrededor. Además, se pretende que valoren la universalidad del lenguaje matemático y su formulación para intercambiar planteamientos físicos y sus resoluciones en distintos entornos y medios.</w:t>
      </w:r>
    </w:p>
    <w:p>
      <w:pPr>
        <w:pStyle w:val="Normal"/>
        <w:rPr>
          <w:rFonts w:ascii="Cambria" w:hAnsi="Cambria"/>
        </w:rPr>
      </w:pPr>
      <w:r>
        <w:rPr>
          <w:sz w:val="22"/>
          <w:szCs w:val="22"/>
        </w:rPr>
        <w:t>Integrar al alumnado en la participación colaborativa con la comunidad científica requiere de un código específico, riguroso y común que asegure la claridad de los mensajes que se intercambian entre sus miembros. Del mismo modo, con esta competencia específica se pretende atender a la demanda de los avances tecnológicos teniendo en cuenta la conservación del medioambiente.</w:t>
      </w:r>
    </w:p>
    <w:p>
      <w:pPr>
        <w:pStyle w:val="Ttulo3"/>
        <w:rPr>
          <w:rFonts w:ascii="Cambria" w:hAnsi="Cambria"/>
          <w:sz w:val="22"/>
          <w:szCs w:val="22"/>
        </w:rPr>
      </w:pPr>
      <w:r>
        <w:rPr>
          <w:sz w:val="22"/>
          <w:szCs w:val="22"/>
        </w:rPr>
        <w:t>Vinculación con otras competencias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Los conocimientos, destrezas y actitudes implícitos en esta competencia tienen conexión con otras competencias específicas de la materia de Física, como CE.F.1. y CE.F.4. El uso correcto de las unidades de medida, así como del resto de elementos propios del lenguaje científico, son fundamentales para conseguir el desarrollo de estas competencias al constituir la base para la elaboración de preguntas relevantes y a partir de ellas colaborar en los procesos de investigación utilizando un lenguaje común que permita una comunicación fluida y eficaz.</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De la misma forma, la competencia específica CE.Q.3. de la materia de Química y la competencia específica CE.M.8. de la materia de matemáticas, también se valora la utilización de los códigos del lenguaje científico para establecer una adecuada comunicación entre comunidades científicas y como herramienta fundamental para trabajar en investigación.</w:t>
      </w:r>
    </w:p>
    <w:p>
      <w:pPr>
        <w:pStyle w:val="Ttulo3"/>
        <w:rPr>
          <w:rFonts w:ascii="Cambria" w:hAnsi="Cambria"/>
          <w:sz w:val="22"/>
          <w:szCs w:val="22"/>
        </w:rPr>
      </w:pPr>
      <w:r>
        <w:rPr>
          <w:sz w:val="22"/>
          <w:szCs w:val="22"/>
        </w:rPr>
        <w:t>Vinculación con los descriptores de las competencias clave</w:t>
      </w:r>
    </w:p>
    <w:p>
      <w:pPr>
        <w:pStyle w:val="Normal"/>
        <w:rPr>
          <w:rFonts w:ascii="Cambria" w:hAnsi="Cambria"/>
        </w:rPr>
      </w:pPr>
      <w:r>
        <w:rPr>
          <w:sz w:val="22"/>
          <w:szCs w:val="22"/>
        </w:rPr>
        <w:t>Esta competencia específica se conecta con los siguientes descriptores: CCL1, CCL5, STEM1, STEM4, CD2.</w:t>
      </w:r>
    </w:p>
    <w:p>
      <w:pPr>
        <w:pStyle w:val="Ttulo2"/>
        <w:rPr>
          <w:rFonts w:ascii="Cambria" w:hAnsi="Cambria"/>
          <w:sz w:val="22"/>
          <w:szCs w:val="22"/>
        </w:rPr>
      </w:pPr>
      <w:r>
        <w:rPr>
          <w:sz w:val="22"/>
          <w:szCs w:val="22"/>
        </w:rPr>
        <w:t>Competencia específica de la materia Física 4:</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Cambria" w:hAnsi="Cambria"/>
        </w:rPr>
      </w:pPr>
      <w:r>
        <w:rPr>
          <w:b/>
          <w:sz w:val="22"/>
          <w:szCs w:val="22"/>
        </w:rPr>
        <w:t xml:space="preserve">CE.F.4. </w:t>
      </w:r>
      <w:r>
        <w:rPr>
          <w:sz w:val="22"/>
          <w:szCs w:val="22"/>
        </w:rPr>
        <w:t>Utilizar de forma autónoma, eficiente, crítica y responsable recursos en distintos formatos, plataformas digitales de información y de comunicación en el trabajo individual y colectivo para el fomento de la creatividad mediante la producción y el intercambio de materiales científicos y divulgativos que faciliten acercar la Física a la sociedad como un campo de conocimientos accesible.</w:t>
      </w:r>
    </w:p>
    <w:p>
      <w:pPr>
        <w:pStyle w:val="Ttulo3"/>
        <w:rPr>
          <w:rFonts w:ascii="Cambria" w:hAnsi="Cambria"/>
          <w:sz w:val="22"/>
          <w:szCs w:val="22"/>
        </w:rPr>
      </w:pPr>
      <w:r>
        <w:rPr>
          <w:sz w:val="22"/>
          <w:szCs w:val="22"/>
        </w:rPr>
        <w:t>Descripción</w:t>
      </w:r>
    </w:p>
    <w:p>
      <w:pPr>
        <w:pStyle w:val="Normal"/>
        <w:rPr>
          <w:rFonts w:ascii="Cambria" w:hAnsi="Cambria"/>
        </w:rPr>
      </w:pPr>
      <w:r>
        <w:rPr>
          <w:sz w:val="22"/>
          <w:szCs w:val="22"/>
        </w:rPr>
        <w:t>Entre las capacidades que deben adquirirse en los nuevos contextos de enseñanza y aprendizaje actuales se encuentra la de utilizar plataformas y entornos virtuales de aprendizaje. Estas plataformas sirven de repositorio de recursos y materiales de distinto tipo y en distinto formato y son útiles para el aprendizaje de la Física, así como medios para el aprendizaje individual y social. Es necesario, pues, desarrollar la capacidad de utilizar estos recursos de forma autónoma y eficiente para facilitar el aprendizaje autorregulado y al mismo tiempo ser responsable en las interacciones con otros estudiantes o con otras estudiantes y con el profesorado.</w:t>
      </w:r>
    </w:p>
    <w:p>
      <w:pPr>
        <w:pStyle w:val="Normal"/>
        <w:rPr>
          <w:rFonts w:ascii="Cambria" w:hAnsi="Cambria"/>
        </w:rPr>
      </w:pPr>
      <w:r>
        <w:rPr>
          <w:sz w:val="22"/>
          <w:szCs w:val="22"/>
        </w:rPr>
        <w:t>Al mismo tiempo, la producción y el intercambio de materiales científicos y divulgativos permiten acercar la Física de forma creativa a la sociedad, presentándola como un campo de conocimientos accesible.</w:t>
      </w:r>
    </w:p>
    <w:p>
      <w:pPr>
        <w:pStyle w:val="Ttulo3"/>
        <w:rPr>
          <w:rFonts w:ascii="Cambria" w:hAnsi="Cambria"/>
          <w:sz w:val="22"/>
          <w:szCs w:val="22"/>
        </w:rPr>
      </w:pPr>
      <w:r>
        <w:rPr>
          <w:sz w:val="22"/>
          <w:szCs w:val="22"/>
        </w:rPr>
        <w:t>Vinculación con otras competencias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Los conocimientos, destrezas y actitudes implícitos en esta competencia tienen conexión con otras competencias específicas de la materia de Física, como CE.F.1. y CE.F.3. El uso correcto y responsable de la información en la comunicación científica es fundamental, así como el desarrollo de las competencias necesarias para participar en procesos de investigación conjunta en el que exista una comunicación fluida y eficaz, ya sea entre expertos o en un formato divulgativo. </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De la misma forma, la competencia específica CE.Q.3. de la materia de Química y la competencia específica CE.M.8. de la materia de matemáticas, también se valora la utilización de los códigos del lenguaje científico para establecer una adecuada comunicación entre comunidades científicas y como herramienta fundamental para trabajar en investigación.</w:t>
      </w:r>
    </w:p>
    <w:p>
      <w:pPr>
        <w:pStyle w:val="Ttulo3"/>
        <w:rPr>
          <w:rFonts w:ascii="Cambria" w:hAnsi="Cambria"/>
          <w:sz w:val="22"/>
          <w:szCs w:val="22"/>
        </w:rPr>
      </w:pPr>
      <w:r>
        <w:rPr>
          <w:sz w:val="22"/>
          <w:szCs w:val="22"/>
        </w:rPr>
        <w:t>Vinculación con los descriptores de las competencias clave</w:t>
      </w:r>
    </w:p>
    <w:p>
      <w:pPr>
        <w:pStyle w:val="Normal"/>
        <w:rPr>
          <w:rFonts w:ascii="Cambria" w:hAnsi="Cambria"/>
        </w:rPr>
      </w:pPr>
      <w:r>
        <w:rPr>
          <w:sz w:val="22"/>
          <w:szCs w:val="22"/>
        </w:rPr>
        <w:t>Esta competencia específica se conecta con los siguientes descriptores: STEM3, STEM5, CD1, CD3, CPSAA5.</w:t>
      </w:r>
    </w:p>
    <w:p>
      <w:pPr>
        <w:pStyle w:val="Ttulo2"/>
        <w:rPr>
          <w:rFonts w:ascii="Cambria" w:hAnsi="Cambria"/>
          <w:sz w:val="22"/>
          <w:szCs w:val="22"/>
        </w:rPr>
      </w:pPr>
      <w:r>
        <w:rPr>
          <w:sz w:val="22"/>
          <w:szCs w:val="22"/>
        </w:rPr>
        <w:t>Competencia específica de la materia Física 5:</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Cambria" w:hAnsi="Cambria"/>
        </w:rPr>
      </w:pPr>
      <w:r>
        <w:rPr>
          <w:b/>
          <w:sz w:val="22"/>
          <w:szCs w:val="22"/>
        </w:rPr>
        <w:t xml:space="preserve">CE.F.5. </w:t>
      </w:r>
      <w:r>
        <w:rPr>
          <w:sz w:val="22"/>
          <w:szCs w:val="22"/>
        </w:rPr>
        <w:t>Aplicar técnicas de trabajo e indagación propias de la Física, así como la experimentación, el razonamiento lógico-matemático y la cooperación, en la resolución de problemas y la interpretación de situaciones relacionadas, para poner en valor el papel de la Física en una sociedad basada en valores éticos y sostenibles.</w:t>
      </w:r>
    </w:p>
    <w:p>
      <w:pPr>
        <w:pStyle w:val="Ttulo3"/>
        <w:rPr>
          <w:rFonts w:ascii="Cambria" w:hAnsi="Cambria"/>
          <w:sz w:val="22"/>
          <w:szCs w:val="22"/>
        </w:rPr>
      </w:pPr>
      <w:r>
        <w:rPr>
          <w:sz w:val="22"/>
          <w:szCs w:val="22"/>
        </w:rPr>
        <w:t>Descripción</w:t>
      </w:r>
    </w:p>
    <w:p>
      <w:pPr>
        <w:pStyle w:val="Normal"/>
        <w:rPr>
          <w:rFonts w:ascii="Cambria" w:hAnsi="Cambria"/>
        </w:rPr>
      </w:pPr>
      <w:r>
        <w:rPr>
          <w:sz w:val="22"/>
          <w:szCs w:val="22"/>
        </w:rPr>
        <w:t>Las ciencias de la naturaleza tienen un carácter experimental intrínseco. Uno de los principales objetivos de cualquiera de estas disciplinas científicas es la explicación de los fenómenos naturales, lo que permite formular teorías y leyes para su aplicación en diferentes sistemas. El caso de la Física no es diferente, y es relevante trasladar a los alumnos y a las alumnas la curiosidad por los fenómenos que suceden en su entorno y en distintas escalas. Hay procesos físicos cotidianos que son reproducibles fácilmente y pueden ser explicados y descritos con base en los principios y leyes de la Física. También hay procesos que, aun no siendo reproducibles, están presentes en el entorno natural de forma generalizada y gracias a los laboratorios virtuales se pueden simular para aproximarse más fácilmente a su estudio.</w:t>
      </w:r>
    </w:p>
    <w:p>
      <w:pPr>
        <w:pStyle w:val="Normal"/>
        <w:rPr>
          <w:rFonts w:ascii="Cambria" w:hAnsi="Cambria"/>
        </w:rPr>
      </w:pPr>
      <w:r>
        <w:rPr>
          <w:sz w:val="22"/>
          <w:szCs w:val="22"/>
        </w:rPr>
        <w:t>El trabajo experimental constituye un conjunto de etapas que fomentan la colaboración e intercambio de información, muy necesarias en los campos de investigación actuales. Para ello, se debe fomentar en su desarrollo la experimentación y estimación de los errores, la utilización de distintas fuentes documentales en varios idiomas y el uso de recursos tecnológicos. Finalmente, se debe plasmar la información en informes que recojan todo este proceso, lo que permitiría a los estudiantes y a las estudiantes formar, en un futuro, parte de la comunidad científica.</w:t>
      </w:r>
    </w:p>
    <w:p>
      <w:pPr>
        <w:pStyle w:val="Ttulo3"/>
        <w:rPr>
          <w:rFonts w:ascii="Cambria" w:hAnsi="Cambria"/>
          <w:sz w:val="22"/>
          <w:szCs w:val="22"/>
        </w:rPr>
      </w:pPr>
      <w:r>
        <w:rPr>
          <w:sz w:val="22"/>
          <w:szCs w:val="22"/>
        </w:rPr>
        <w:t>Vinculación con otras competencias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El uso del pensamiento científico para resolver problemas y explicar fenómenos relacionados con esta materia en un ambiente colaborativo de trabajo en equipo son las características que unen a esta competencia con competencias como la CE.F.1. o la CE.F.2. prestando un especial interés por la búsqueda de soluciones tecnológicas innovadoras y sostenibles para dar respuesta a necesidades concretas.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En relación a otras materias, esta competencia se vincula con la CE.B.4 de Biología, la CE.Q.1 de la materia de Química y con la CE.M.1 de la materia de Matemáticas, que priorizan la aplicación del pensamiento científico tomando como base el trabajo experimental y el razonamiento lógico-matemático para confirmar la relevancia de la ciencia en la explicación de fenómenos, en el desarrollo de la tecnología, de la sociedad y de la sostenibilidad ambiental.</w:t>
      </w:r>
    </w:p>
    <w:p>
      <w:pPr>
        <w:pStyle w:val="Ttulo3"/>
        <w:rPr>
          <w:rFonts w:ascii="Cambria" w:hAnsi="Cambria"/>
          <w:sz w:val="22"/>
          <w:szCs w:val="22"/>
        </w:rPr>
      </w:pPr>
      <w:r>
        <w:rPr>
          <w:sz w:val="22"/>
          <w:szCs w:val="22"/>
        </w:rPr>
        <w:t>Vinculación con los descriptores de las competencias clave</w:t>
      </w:r>
    </w:p>
    <w:p>
      <w:pPr>
        <w:pStyle w:val="Normal"/>
        <w:rPr>
          <w:rFonts w:ascii="Cambria" w:hAnsi="Cambria"/>
        </w:rPr>
      </w:pPr>
      <w:r>
        <w:rPr>
          <w:sz w:val="22"/>
          <w:szCs w:val="22"/>
        </w:rPr>
        <w:t>Esta competencia específica se conecta con los siguientes descriptores: STEM1, CPSAA6, CC4, CE3.</w:t>
      </w:r>
    </w:p>
    <w:p>
      <w:pPr>
        <w:pStyle w:val="Ttulo2"/>
        <w:rPr>
          <w:rFonts w:ascii="Cambria" w:hAnsi="Cambria"/>
          <w:sz w:val="22"/>
          <w:szCs w:val="22"/>
        </w:rPr>
      </w:pPr>
      <w:r>
        <w:rPr>
          <w:sz w:val="22"/>
          <w:szCs w:val="22"/>
        </w:rPr>
        <w:t>Competencia específica de la materia Física 6:</w:t>
      </w:r>
    </w:p>
    <w:p>
      <w:pPr>
        <w:pStyle w:val="Normal"/>
        <w:pBdr>
          <w:top w:val="single" w:sz="4" w:space="1" w:color="000000"/>
          <w:left w:val="single" w:sz="4" w:space="4" w:color="000000"/>
          <w:bottom w:val="single" w:sz="4" w:space="1" w:color="000000"/>
          <w:right w:val="single" w:sz="4" w:space="4" w:color="000000"/>
        </w:pBdr>
        <w:shd w:val="clear" w:color="auto" w:fill="D9D9D9" w:themeFill="background1" w:themeFillShade="d9"/>
        <w:rPr>
          <w:rFonts w:ascii="Cambria" w:hAnsi="Cambria"/>
        </w:rPr>
      </w:pPr>
      <w:r>
        <w:rPr>
          <w:b/>
          <w:sz w:val="22"/>
          <w:szCs w:val="22"/>
        </w:rPr>
        <w:t xml:space="preserve">CE.F.6. </w:t>
      </w:r>
      <w:r>
        <w:rPr>
          <w:sz w:val="22"/>
          <w:szCs w:val="22"/>
        </w:rPr>
        <w:t>Reconocer y analizar el carácter multidisciplinar de la Física, considerando su relevante recorrido histórico y sus contribuciones al avance del conocimiento científico como un proceso en continua evolución e innovación, para establecer unas bases de conocimiento y relación con otras disciplinas científicas.</w:t>
      </w:r>
    </w:p>
    <w:p>
      <w:pPr>
        <w:pStyle w:val="Ttulo3"/>
        <w:rPr>
          <w:rFonts w:ascii="Cambria" w:hAnsi="Cambria"/>
          <w:sz w:val="22"/>
          <w:szCs w:val="22"/>
        </w:rPr>
      </w:pPr>
      <w:r>
        <w:rPr>
          <w:sz w:val="22"/>
          <w:szCs w:val="22"/>
        </w:rPr>
        <w:t>Descripción</w:t>
      </w:r>
    </w:p>
    <w:p>
      <w:pPr>
        <w:pStyle w:val="Normal"/>
        <w:rPr>
          <w:rFonts w:ascii="Cambria" w:hAnsi="Cambria"/>
        </w:rPr>
      </w:pPr>
      <w:r>
        <w:rPr>
          <w:sz w:val="22"/>
          <w:szCs w:val="22"/>
        </w:rPr>
        <w:t>La Física constituye una ciencia que está profundamente implicada en distintos ámbitos de nuestras vidas cotidianas y que, por tanto, forma parte clave del desarrollo científico, tecnológico e industrial. La adecuada aplicación de sus principios y leyes permite la resolución de diversos problemas basados en los mismos conocimientos y la capacidad de aplicar en distintas situaciones planteamientos similares a los estudiados muestra la universalidad de esta ciencia.</w:t>
      </w:r>
    </w:p>
    <w:p>
      <w:pPr>
        <w:pStyle w:val="Normal"/>
        <w:rPr>
          <w:rFonts w:ascii="Cambria" w:hAnsi="Cambria"/>
        </w:rPr>
      </w:pPr>
      <w:r>
        <w:rPr>
          <w:sz w:val="22"/>
          <w:szCs w:val="22"/>
        </w:rPr>
        <w:t>Los conocimientos y aplicaciones de la Física forman, junto con los de otras ciencias como las matemáticas o la tecnología, un sistema simbiótico cuyas aportaciones se benefician mutuamente. La necesidad de formalizar experimentos para verificar los estudios implica un incentivo en el desarrollo tecnológico y viceversa, el progreso de la tecnología alumbra nuevos descubrimientos que precisan de explicación a través de las ciencias básicas como la Física. La colaboración entre distintas comunidades científicas expertas en diferentes disciplinas es imprescindible en todo este desarrollo.</w:t>
      </w:r>
    </w:p>
    <w:p>
      <w:pPr>
        <w:pStyle w:val="Ttulo3"/>
        <w:rPr>
          <w:rFonts w:ascii="Cambria" w:hAnsi="Cambria"/>
          <w:sz w:val="22"/>
          <w:szCs w:val="22"/>
        </w:rPr>
      </w:pPr>
      <w:r>
        <w:rPr>
          <w:sz w:val="22"/>
          <w:szCs w:val="22"/>
        </w:rPr>
        <w:t>Vinculación con otras competencias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Esta competencia específica se relaciona con otras pertenecientes a la misma materia como la CE.F.3. en cuanto a la necesidad de usar el lenguaje científico de manera apropiada y adecuada para producir información que permita mantener relaciones con otras ciencias y campos de conocimiento para la consecución de una concepción holística de la ciencia. </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En cuanto a la relación con las competencias de otras materias, se relaciona con CE.B.2 de la materia Biología, por la valoración de la aproximación de todo el conocimiento científico para poder explicar de forma más precisa el funcionamiento del medio natural y con la competencia CE.Q.6 de la materia Química, por los objetivos que comparten en cuanto a alcanzar un desarrollo de la ciencia, la tecnología y la sociedad dentro de un marco respetuoso con el medio ambiente y con el ser humano.</w:t>
      </w:r>
    </w:p>
    <w:p>
      <w:pPr>
        <w:pStyle w:val="Ttulo3"/>
        <w:rPr>
          <w:rFonts w:ascii="Cambria" w:hAnsi="Cambria"/>
          <w:sz w:val="22"/>
          <w:szCs w:val="22"/>
        </w:rPr>
      </w:pPr>
      <w:r>
        <w:rPr>
          <w:sz w:val="22"/>
          <w:szCs w:val="22"/>
        </w:rPr>
        <w:t>Vinculación con los descriptores de las competencias clave</w:t>
      </w:r>
    </w:p>
    <w:p>
      <w:pPr>
        <w:pStyle w:val="Normal"/>
        <w:rPr>
          <w:rFonts w:ascii="Cambria" w:hAnsi="Cambria"/>
        </w:rPr>
      </w:pPr>
      <w:r>
        <w:rPr>
          <w:sz w:val="22"/>
          <w:szCs w:val="22"/>
        </w:rPr>
        <w:t>Esta competencia específica se conecta con los siguientes descriptores: STEM2, STEM5, CPSAA7, CE1.</w:t>
      </w:r>
    </w:p>
    <w:p>
      <w:pPr>
        <w:pStyle w:val="Ttulo1"/>
        <w:rPr>
          <w:rFonts w:ascii="Cambria" w:hAnsi="Cambria"/>
          <w:sz w:val="22"/>
          <w:szCs w:val="22"/>
        </w:rPr>
      </w:pPr>
      <w:r>
        <w:rPr>
          <w:sz w:val="22"/>
          <w:szCs w:val="22"/>
        </w:rPr>
        <w:t>II. Criterios de evaluación</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La evaluación debe constituir un proceso constante a lo largo del proceso de enseñanza/aprendizaje, que es necesario planificar. Los contenidos y procedimientos seleccionados para evaluar con finalidades calificadoras y los criterios de evaluación aplicados condicionan totalmente cómo se enseña y cómo se estudia y aprende. La evaluación no sólo mide los resultados, sino que condiciona qué se enseña y cómo, y muy especialmente qué aprenden los estudiantes y las estudiantes y cómo lo hacen. </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Las actividades de evaluación deberían tener como finalidad principal favorecer el proceso de regulación, es decir, que el alumnado consiga reconocer las diferencias entre lo que se propone y sus propias maneras de pensar o hacer. De esta manera, se ayuda a que el alumnado pueda detectar sus dificultades y disponga de estrategias e instrumentos para superarlas. Si se realiza una buena evaluación con funciones reguladoras, se consigue que una proporción mayor del alumnado obtenga buenos resultados en las evaluaciones sumativas. No hay duda de que es difícil y en algunos casos no se consigue, pero la investigación en este campo demuestra que cuando se consigue, los resultados son mucho mejores (Sanmartí, 2007). </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Además, evaluar es una condición necesaria para mejorar la enseñanza. La evaluación es la actividad que más impulsa el cambio, ya que posibilita la toma de conciencia de unos hechos y el análisis de sus posibles causas y soluciones. Evaluar la enseñanza comporta (Sanmartí, 2007) por un lado, detectar la adecuación de sus objetivos a una determinada realidad escolar, y la coherencia, con relación a dicho objetivos, de los contenidos, actividades de enseñanza seleccionadas y criterios de evaluación aplicados. Por otro, emitir juicios sobre los aspectos que conviene reforzar y sobre las posibles causas de las incoherencias detectadas. Y finalmente, tomar decisiones sobre cómo innovar para superar las deficiencias observadas.</w:t>
      </w:r>
    </w:p>
    <w:tbl>
      <w:tblPr>
        <w:tblW w:w="10515" w:type="dxa"/>
        <w:jc w:val="left"/>
        <w:tblInd w:w="-321" w:type="dxa"/>
        <w:tblCellMar>
          <w:top w:w="0" w:type="dxa"/>
          <w:left w:w="108" w:type="dxa"/>
          <w:bottom w:w="0" w:type="dxa"/>
          <w:right w:w="108" w:type="dxa"/>
        </w:tblCellMar>
        <w:tblLook w:firstRow="1" w:noVBand="1" w:lastRow="0" w:firstColumn="1" w:lastColumn="0" w:noHBand="0" w:val="04a0"/>
      </w:tblPr>
      <w:tblGrid>
        <w:gridCol w:w="10515"/>
      </w:tblGrid>
      <w:tr>
        <w:trPr/>
        <w:tc>
          <w:tcPr>
            <w:tcW w:w="10515" w:type="dxa"/>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CE.F.1</w:t>
            </w:r>
          </w:p>
        </w:tc>
      </w:tr>
      <w:tr>
        <w:trPr/>
        <w:tc>
          <w:tcPr>
            <w:tcW w:w="10515" w:type="dxa"/>
            <w:tcBorders/>
            <w:shd w:color="auto" w:fill="DBE5F1" w:themeFill="accent1" w:themeFillTint="33" w:val="clear"/>
          </w:tcPr>
          <w:p>
            <w:pPr>
              <w:pStyle w:val="Normal"/>
              <w:widowControl w:val="false"/>
              <w:spacing w:lineRule="auto" w:line="240" w:before="0" w:after="0"/>
              <w:rPr>
                <w:rFonts w:ascii="Cambria" w:hAnsi="Cambria"/>
              </w:rPr>
            </w:pPr>
            <w:r>
              <w:rPr>
                <w:i/>
                <w:sz w:val="22"/>
                <w:szCs w:val="22"/>
              </w:rPr>
              <w:t>Utilizar las teorías, principios y leyes que rigen los procesos físicos más importantes, considerando su base experimental y desarrollo matemático en la resolución de problemas, para reconocer la Física como una ciencia relevante implicada en el desarrollo de la tecnología, de la economía, de la sociedad y la sostenibilidad ambiental.</w:t>
            </w:r>
          </w:p>
        </w:tc>
      </w:tr>
      <w:tr>
        <w:trPr/>
        <w:tc>
          <w:tcPr>
            <w:tcW w:w="10515" w:type="dxa"/>
            <w:tcBorders/>
            <w:shd w:color="auto" w:fill="auto" w:val="clear"/>
          </w:tcPr>
          <w:p>
            <w:pPr>
              <w:pStyle w:val="Normal"/>
              <w:widowControl w:val="false"/>
              <w:spacing w:lineRule="auto" w:line="240" w:before="0" w:after="0"/>
              <w:rPr>
                <w:rFonts w:ascii="Cambria" w:hAnsi="Cambria"/>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rFonts w:ascii="Cambria" w:hAnsi="Cambria"/>
              </w:rPr>
            </w:pPr>
            <w:r>
              <w:rPr>
                <w:sz w:val="22"/>
                <w:szCs w:val="22"/>
              </w:rPr>
              <w:t>1.2. Resolver problemas de manera experimental y analítica, utilizando principios, leyes y teorías de la Física.</w:t>
            </w:r>
          </w:p>
        </w:tc>
      </w:tr>
      <w:tr>
        <w:trPr/>
        <w:tc>
          <w:tcPr>
            <w:tcW w:w="10515" w:type="dxa"/>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CE.F.2</w:t>
            </w:r>
          </w:p>
        </w:tc>
      </w:tr>
      <w:tr>
        <w:trPr/>
        <w:tc>
          <w:tcPr>
            <w:tcW w:w="10515" w:type="dxa"/>
            <w:tcBorders/>
            <w:shd w:color="auto" w:fill="DBE5F1" w:themeFill="accent1" w:themeFillTint="33" w:val="clear"/>
          </w:tcPr>
          <w:p>
            <w:pPr>
              <w:pStyle w:val="Normal"/>
              <w:widowControl w:val="false"/>
              <w:spacing w:lineRule="auto" w:line="240" w:before="0" w:after="0"/>
              <w:rPr>
                <w:rFonts w:ascii="Cambria" w:hAnsi="Cambria"/>
              </w:rPr>
            </w:pPr>
            <w:r>
              <w:rPr>
                <w:i/>
                <w:sz w:val="22"/>
                <w:szCs w:val="22"/>
              </w:rPr>
              <w:t>Adoptar los modelos, teorías y leyes aceptados de la Física como base de estudio de los sistemas naturales y predecir su evolución para inferir soluciones generales a los problemas cotidianos relacionados con las aplicaciones prácticas demandadas por la sociedad en el campo tecnológico, industrial y biosanitario.</w:t>
            </w:r>
          </w:p>
        </w:tc>
      </w:tr>
      <w:tr>
        <w:trPr/>
        <w:tc>
          <w:tcPr>
            <w:tcW w:w="10515" w:type="dxa"/>
            <w:tcBorders/>
            <w:shd w:color="auto" w:fill="auto" w:val="clear"/>
          </w:tcPr>
          <w:p>
            <w:pPr>
              <w:pStyle w:val="Normal"/>
              <w:widowControl w:val="false"/>
              <w:spacing w:lineRule="auto" w:line="240" w:before="0" w:after="0"/>
              <w:rPr>
                <w:rFonts w:ascii="Cambria" w:hAnsi="Cambria"/>
              </w:rPr>
            </w:pPr>
            <w:r>
              <w:rPr>
                <w:sz w:val="22"/>
                <w:szCs w:val="22"/>
              </w:rPr>
              <w:t>2.1. Analizar y comprender la evolución de los sistemas naturales, utilizando modelos, leyes y teorías de la Física.</w:t>
            </w:r>
          </w:p>
          <w:p>
            <w:pPr>
              <w:pStyle w:val="Normal"/>
              <w:widowControl w:val="false"/>
              <w:spacing w:lineRule="auto" w:line="240" w:before="0" w:after="0"/>
              <w:rPr>
                <w:rFonts w:ascii="Cambria" w:hAnsi="Cambria"/>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rFonts w:ascii="Cambria" w:hAnsi="Cambria"/>
              </w:rPr>
            </w:pPr>
            <w:r>
              <w:rPr>
                <w:sz w:val="22"/>
                <w:szCs w:val="22"/>
              </w:rPr>
              <w:t>2.3. Conocer aplicaciones prácticas y productos útiles para la sociedad en el campo tecnológico, industrial y biosanitario, analizándolos en base a los modelos, las leyes y las teorías de la Física.</w:t>
            </w:r>
          </w:p>
        </w:tc>
      </w:tr>
      <w:tr>
        <w:trPr/>
        <w:tc>
          <w:tcPr>
            <w:tcW w:w="10515" w:type="dxa"/>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CE.F.3</w:t>
            </w:r>
          </w:p>
        </w:tc>
      </w:tr>
      <w:tr>
        <w:trPr/>
        <w:tc>
          <w:tcPr>
            <w:tcW w:w="10515" w:type="dxa"/>
            <w:tcBorders/>
            <w:shd w:color="auto" w:fill="DBE5F1" w:themeFill="accent1" w:themeFillTint="33" w:val="clear"/>
          </w:tcPr>
          <w:p>
            <w:pPr>
              <w:pStyle w:val="Normal"/>
              <w:widowControl w:val="false"/>
              <w:spacing w:lineRule="auto" w:line="240" w:before="0" w:after="0"/>
              <w:rPr>
                <w:rFonts w:ascii="Cambria" w:hAnsi="Cambria"/>
              </w:rPr>
            </w:pPr>
            <w:r>
              <w:rPr>
                <w:i/>
                <w:sz w:val="22"/>
                <w:szCs w:val="22"/>
              </w:rPr>
              <w:t>Utilizar el lenguaje de la Física con la formulación matemática de sus principios, magnitudes, unidades, ecuaciones, etc., para establecer una comunicación adecuada entre diferentes comunidades científicas y como una herramienta fundamental en la investigación.</w:t>
            </w:r>
          </w:p>
        </w:tc>
      </w:tr>
      <w:tr>
        <w:trPr/>
        <w:tc>
          <w:tcPr>
            <w:tcW w:w="10515" w:type="dxa"/>
            <w:tcBorders/>
            <w:shd w:color="auto" w:fill="auto" w:val="clear"/>
          </w:tcPr>
          <w:p>
            <w:pPr>
              <w:pStyle w:val="Normal"/>
              <w:widowControl w:val="false"/>
              <w:spacing w:lineRule="auto" w:line="240" w:before="0" w:after="0"/>
              <w:rPr>
                <w:rFonts w:ascii="Cambria" w:hAnsi="Cambria"/>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rFonts w:ascii="Cambria" w:hAnsi="Cambria"/>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rFonts w:ascii="Cambria" w:hAnsi="Cambria"/>
              </w:rPr>
            </w:pPr>
            <w:r>
              <w:rPr>
                <w:sz w:val="22"/>
                <w:szCs w:val="22"/>
              </w:rPr>
              <w:t>3.3. Expresar de forma adecuada los resultados, argumentando las soluciones obtenidas, en la resolución de los ejercicios y problemas que se plantean, bien sea a través de situaciones reales o ideales.</w:t>
            </w:r>
          </w:p>
        </w:tc>
      </w:tr>
      <w:tr>
        <w:trPr/>
        <w:tc>
          <w:tcPr>
            <w:tcW w:w="10515" w:type="dxa"/>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CE.F.4</w:t>
            </w:r>
          </w:p>
        </w:tc>
      </w:tr>
      <w:tr>
        <w:trPr/>
        <w:tc>
          <w:tcPr>
            <w:tcW w:w="10515" w:type="dxa"/>
            <w:tcBorders/>
            <w:shd w:color="auto" w:fill="DBE5F1" w:themeFill="accent1" w:themeFillTint="33" w:val="clear"/>
          </w:tcPr>
          <w:p>
            <w:pPr>
              <w:pStyle w:val="Normal"/>
              <w:widowControl w:val="false"/>
              <w:spacing w:lineRule="auto" w:line="240" w:before="0" w:after="0"/>
              <w:rPr>
                <w:rFonts w:ascii="Cambria" w:hAnsi="Cambria"/>
              </w:rPr>
            </w:pPr>
            <w:r>
              <w:rPr>
                <w:i/>
                <w:sz w:val="22"/>
                <w:szCs w:val="22"/>
              </w:rPr>
              <w:t>Utilizar de forma autónoma, eficiente, crítica y responsable recursos en distintos formatos, plataformas digitales de información y de comunicación en el trabajo individual y colectivo para el fomento de la creatividad mediante la producción y el intercambio de materiales científicos y divulgativos que faciliten acercar la Física a la sociedad como un campo de conocimientos accesible.</w:t>
            </w:r>
          </w:p>
        </w:tc>
      </w:tr>
      <w:tr>
        <w:trPr/>
        <w:tc>
          <w:tcPr>
            <w:tcW w:w="10515" w:type="dxa"/>
            <w:tcBorders/>
            <w:shd w:color="auto" w:fill="auto" w:val="clear"/>
          </w:tcPr>
          <w:p>
            <w:pPr>
              <w:pStyle w:val="Normal"/>
              <w:widowControl w:val="false"/>
              <w:spacing w:lineRule="auto" w:line="240" w:before="0" w:after="0"/>
              <w:rPr>
                <w:rFonts w:ascii="Cambria" w:hAnsi="Cambria"/>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rFonts w:ascii="Cambria" w:hAnsi="Cambria"/>
              </w:rPr>
            </w:pPr>
            <w:r>
              <w:rPr>
                <w:sz w:val="22"/>
                <w:szCs w:val="22"/>
              </w:rPr>
              <w:t>4.2. Usar de forma crítica, ética y responsable medios de comunicación digitales y tradicionales como modo de enriquecer el aprendizaje y el trabajo individual y colectivo.</w:t>
            </w:r>
          </w:p>
        </w:tc>
      </w:tr>
      <w:tr>
        <w:trPr/>
        <w:tc>
          <w:tcPr>
            <w:tcW w:w="10515" w:type="dxa"/>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CE.F.5</w:t>
            </w:r>
          </w:p>
        </w:tc>
      </w:tr>
      <w:tr>
        <w:trPr/>
        <w:tc>
          <w:tcPr>
            <w:tcW w:w="10515" w:type="dxa"/>
            <w:tcBorders/>
            <w:shd w:color="auto" w:fill="DBE5F1" w:themeFill="accent1" w:themeFillTint="33" w:val="clear"/>
          </w:tcPr>
          <w:p>
            <w:pPr>
              <w:pStyle w:val="Normal"/>
              <w:widowControl w:val="false"/>
              <w:spacing w:lineRule="auto" w:line="240" w:before="0" w:after="0"/>
              <w:rPr>
                <w:rFonts w:ascii="Cambria" w:hAnsi="Cambria"/>
              </w:rPr>
            </w:pPr>
            <w:r>
              <w:rPr>
                <w:i/>
                <w:sz w:val="22"/>
                <w:szCs w:val="22"/>
              </w:rPr>
              <w:t>Aplicar técnicas de trabajo e indagación propias de la Física, así como la experimentación, el razonamiento lógico-matemático y la cooperación, en la resolución de problemas y la interpretación de situaciones relacionadas, para poner en valor el papel de la Física en una sociedad basada en valores éticos y sostenibles.</w:t>
            </w:r>
          </w:p>
        </w:tc>
      </w:tr>
      <w:tr>
        <w:trPr/>
        <w:tc>
          <w:tcPr>
            <w:tcW w:w="10515" w:type="dxa"/>
            <w:tcBorders/>
            <w:shd w:color="auto" w:fill="auto" w:val="clear"/>
          </w:tcPr>
          <w:p>
            <w:pPr>
              <w:pStyle w:val="Normal"/>
              <w:widowControl w:val="false"/>
              <w:spacing w:lineRule="auto" w:line="240" w:before="0" w:after="0"/>
              <w:rPr>
                <w:rFonts w:ascii="Cambria" w:hAnsi="Cambria"/>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rFonts w:ascii="Cambria" w:hAnsi="Cambria"/>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rFonts w:ascii="Cambria" w:hAnsi="Cambria"/>
              </w:rPr>
            </w:pPr>
            <w:r>
              <w:rPr>
                <w:sz w:val="22"/>
                <w:szCs w:val="22"/>
              </w:rPr>
              <w:t>5.3. Valorar la Física, debatiendo de forma fundamentada sobre sus avances y la implicación en la sociedad desde el punto de vista de la ética y de la sostenibilidad.</w:t>
            </w:r>
          </w:p>
        </w:tc>
      </w:tr>
      <w:tr>
        <w:trPr/>
        <w:tc>
          <w:tcPr>
            <w:tcW w:w="10515" w:type="dxa"/>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CE.F.6</w:t>
            </w:r>
          </w:p>
        </w:tc>
      </w:tr>
      <w:tr>
        <w:trPr/>
        <w:tc>
          <w:tcPr>
            <w:tcW w:w="10515" w:type="dxa"/>
            <w:tcBorders/>
            <w:shd w:color="auto" w:fill="DBE5F1" w:themeFill="accent1" w:themeFillTint="33" w:val="clear"/>
          </w:tcPr>
          <w:p>
            <w:pPr>
              <w:pStyle w:val="Normal"/>
              <w:widowControl w:val="false"/>
              <w:spacing w:lineRule="auto" w:line="240" w:before="0" w:after="0"/>
              <w:rPr>
                <w:rFonts w:ascii="Cambria" w:hAnsi="Cambria"/>
              </w:rPr>
            </w:pPr>
            <w:r>
              <w:rPr>
                <w:i/>
                <w:sz w:val="22"/>
                <w:szCs w:val="22"/>
              </w:rPr>
              <w:t>Reconocer y analizar el carácter multidisciplinar de la Física, considerando su relevante recorrido histórico y sus contribuciones al avance del conocimiento científico como un proceso en continua evolución e innovación, para establecer unas bases de conocimiento y relación con otras disciplinas científicas.</w:t>
            </w:r>
          </w:p>
        </w:tc>
      </w:tr>
      <w:tr>
        <w:trPr/>
        <w:tc>
          <w:tcPr>
            <w:tcW w:w="10515" w:type="dxa"/>
            <w:tcBorders/>
            <w:shd w:color="auto" w:fill="auto" w:val="clear"/>
          </w:tcPr>
          <w:p>
            <w:pPr>
              <w:pStyle w:val="Normal"/>
              <w:widowControl w:val="false"/>
              <w:spacing w:lineRule="auto" w:line="240" w:before="0" w:after="0"/>
              <w:rPr>
                <w:rFonts w:ascii="Cambria" w:hAnsi="Cambria"/>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rFonts w:ascii="Cambria" w:hAnsi="Cambria"/>
              </w:rPr>
            </w:pPr>
            <w:r>
              <w:rPr>
                <w:sz w:val="22"/>
                <w:szCs w:val="22"/>
              </w:rPr>
              <w:t>6.2. Reconocer el carácter multidisciplinar de la ciencia y las contribuciones de unas disciplinas sobre otras, estableciendo relaciones entre la Física y la Química, la Biología o las Matemáticas.</w:t>
            </w:r>
          </w:p>
        </w:tc>
      </w:tr>
    </w:tbl>
    <w:p>
      <w:pPr>
        <w:pStyle w:val="Ttulo1"/>
        <w:jc w:val="both"/>
        <w:rPr>
          <w:rFonts w:ascii="Calibri" w:hAnsi="Calibri" w:eastAsia="Cambria" w:cs="Cambria"/>
          <w:sz w:val="22"/>
          <w:szCs w:val="22"/>
          <w:u w:val="single"/>
        </w:rPr>
      </w:pPr>
      <w:r>
        <w:rPr>
          <w:rFonts w:eastAsia="Cambria" w:cs="Cambria"/>
          <w:sz w:val="22"/>
          <w:szCs w:val="22"/>
          <w:u w:val="single"/>
        </w:rPr>
      </w:r>
    </w:p>
    <w:p>
      <w:pPr>
        <w:pStyle w:val="Normal"/>
        <w:jc w:val="both"/>
        <w:rPr>
          <w:rFonts w:ascii="Cambria" w:hAnsi="Cambria"/>
        </w:rPr>
      </w:pPr>
      <w:r>
        <w:rPr>
          <w:rFonts w:eastAsia="Cambria" w:cs="Cambria"/>
          <w:b/>
          <w:sz w:val="22"/>
          <w:szCs w:val="22"/>
          <w:u w:val="single"/>
        </w:rPr>
        <w:t>2. CONCRECIÓN, AGRUPAMIENTO Y SECUENCIACIÓN DE LOS SABERES BÁSICOS Y DE LOS CRITERIOS DE EVALUACIÓN EN UNIDADES DIDÁCTICAS</w:t>
      </w:r>
    </w:p>
    <w:p>
      <w:pPr>
        <w:pStyle w:val="Ttulo1"/>
        <w:rPr>
          <w:rFonts w:ascii="Cambria" w:hAnsi="Cambria"/>
          <w:sz w:val="22"/>
          <w:szCs w:val="22"/>
        </w:rPr>
      </w:pPr>
      <w:r>
        <w:rPr>
          <w:sz w:val="22"/>
          <w:szCs w:val="22"/>
        </w:rPr>
        <w:t>III. Saberes básicos</w:t>
      </w:r>
    </w:p>
    <w:p>
      <w:pPr>
        <w:pStyle w:val="Ttulo2"/>
        <w:rPr>
          <w:rFonts w:ascii="Cambria" w:hAnsi="Cambria"/>
          <w:sz w:val="22"/>
          <w:szCs w:val="22"/>
        </w:rPr>
      </w:pPr>
      <w:r>
        <w:rPr>
          <w:sz w:val="22"/>
          <w:szCs w:val="22"/>
        </w:rPr>
        <w:t>III.1. Descripción de los diferentes bloques en los que se estructuran los saberes básicos</w:t>
      </w:r>
    </w:p>
    <w:p>
      <w:pPr>
        <w:pStyle w:val="Ttulo3"/>
        <w:rPr>
          <w:rFonts w:ascii="Cambria" w:hAnsi="Cambria"/>
          <w:sz w:val="22"/>
          <w:szCs w:val="22"/>
        </w:rPr>
      </w:pPr>
      <w:r>
        <w:rPr>
          <w:sz w:val="22"/>
          <w:szCs w:val="22"/>
        </w:rPr>
        <w:t>A. Campo gravitatorio</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La gravitación es una de las cuatro fuerzas o interacciones fundamentales del Universo conocidas hasta ahora, siendo en este curso el primer momento en el que se realiza su estudio formal desde el punto de vista de las fuerzas y de los campos. Así, se puede presentar el concepto de campo gravitatorio como aquel que permite encajar las piezas sueltas de la mecánica clásica relacionadas con la cinemática, la dinámica y la energía vistas en cursos anteriores, dando respuesta matemática a afirmaciones que hasta ahora habían quedado sin una respuesta formal.</w:t>
      </w:r>
    </w:p>
    <w:p>
      <w:pPr>
        <w:pStyle w:val="Ttulo3"/>
        <w:rPr>
          <w:rFonts w:ascii="Cambria" w:hAnsi="Cambria"/>
          <w:sz w:val="22"/>
          <w:szCs w:val="22"/>
        </w:rPr>
      </w:pPr>
      <w:r>
        <w:rPr>
          <w:sz w:val="22"/>
          <w:szCs w:val="22"/>
        </w:rPr>
        <w:t>B. Campo electromagnético</w:t>
      </w:r>
    </w:p>
    <w:p>
      <w:pPr>
        <w:pStyle w:val="NormalWeb"/>
        <w:spacing w:beforeAutospacing="0" w:before="0" w:afterAutospacing="0" w:after="160"/>
        <w:jc w:val="both"/>
        <w:rPr>
          <w:rFonts w:ascii="Cambria" w:hAnsi="Cambria"/>
          <w:sz w:val="22"/>
          <w:szCs w:val="22"/>
        </w:rPr>
      </w:pPr>
      <w:r>
        <w:rPr>
          <w:rFonts w:cs="Calibri" w:ascii="Calibri" w:hAnsi="Calibri"/>
          <w:color w:val="333333"/>
          <w:sz w:val="22"/>
          <w:szCs w:val="22"/>
        </w:rPr>
        <w:t>El estudio del campo electromagnético en este curso debería permitir al alumnado realizar una aproximación con relativa profundidad al estudio de las interacciones asociadas al electromagnetismo. Dichos conocimientos deben incluir el estudio de la interacción electrostática y el estudio del campo eléctrico, el estudio del campo magnético y los fenómenos asociados y finalmente el estudio de la interacción entre ambos campos y algunas de las aplicaciones más importantes.</w:t>
      </w:r>
    </w:p>
    <w:p>
      <w:pPr>
        <w:pStyle w:val="Ttulo3"/>
        <w:rPr>
          <w:rFonts w:ascii="Cambria" w:hAnsi="Cambria"/>
          <w:sz w:val="22"/>
          <w:szCs w:val="22"/>
        </w:rPr>
      </w:pPr>
      <w:r>
        <w:rPr>
          <w:sz w:val="22"/>
          <w:szCs w:val="22"/>
        </w:rPr>
        <w:t>C. Vibraciones y ondas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El bloque de conocimientos, destrezas y actitudes dedicado al estudio del movimiento oscilatorio y las ondas engloba un amplio espectro de fenómenos físicos. En este sentido, podrían establecerse tres sub-bloques de conocimientos que de forma secuencial establezcan el desarrollo de todo el bloque. En primer lugar, se podría comenzar con el estudio del movimiento oscilatorio desde una perspectiva conceptual, experimental y matemática. En segundo lugar y haciendo uso de los conocimientos del primer sub-bloque se afronta el estudio del movimiento ondulatorio y los fenómenos asociados a este (con una especial atención al estudio de las ondas de sonido). El último sub-bloque aborda el estudio de la naturaleza de la luz en su comportamiento ondulatorio, entre los que se encuentran los fenómenos más importantes asociados al estudio de la óptica.  </w:t>
      </w:r>
    </w:p>
    <w:p>
      <w:pPr>
        <w:pStyle w:val="Ttulo3"/>
        <w:rPr>
          <w:rFonts w:ascii="Cambria" w:hAnsi="Cambria"/>
          <w:sz w:val="22"/>
          <w:szCs w:val="22"/>
        </w:rPr>
      </w:pPr>
      <w:r>
        <w:rPr>
          <w:sz w:val="22"/>
          <w:szCs w:val="22"/>
        </w:rPr>
        <w:t>D. Física relativista, cuántica, nuclear y de partículas</w:t>
      </w:r>
    </w:p>
    <w:p>
      <w:pPr>
        <w:pStyle w:val="NormalWeb"/>
        <w:spacing w:beforeAutospacing="0" w:before="0" w:afterAutospacing="0" w:after="160"/>
        <w:jc w:val="both"/>
        <w:rPr>
          <w:rFonts w:ascii="Cambria" w:hAnsi="Cambria"/>
          <w:sz w:val="22"/>
          <w:szCs w:val="22"/>
        </w:rPr>
      </w:pPr>
      <w:r>
        <w:rPr>
          <w:rFonts w:cs="Calibri" w:ascii="Calibri" w:hAnsi="Calibri"/>
          <w:color w:val="000000"/>
          <w:sz w:val="22"/>
          <w:szCs w:val="22"/>
        </w:rPr>
        <w:t>El bloque de conocimientos, destrezas y actitudes dedicado al estudio del movimiento oscilatorio y las ondas engloba un amplio espectro de fenómenos físicos. En este sentido, podrían establecerse tres sub-bloques de conocimientos que de forma secuencial establezcan el desarrollo de todo el bloque. En primer lugar, se podría comenzar con el estudio del movimiento oscilatorio desde una perspectiva conceptual, experimental y matemática. En segundo lugar y haciendo uso de los conocimientos del primer sub-bloque se afronta el estudio del movimiento ondulatorio y los fenómenos asociados a este (con una especial atención al estudio de las ondas de sonido). El último sub-bloque aborda el estudio de la naturaleza de la luz en su comportamiento ondulatorio, entre los que se encuentran los fenómenos más importantes asociados al estudio de la óptica.</w:t>
      </w:r>
    </w:p>
    <w:p>
      <w:pPr>
        <w:pStyle w:val="Ttulo2"/>
        <w:rPr>
          <w:rFonts w:ascii="Cambria" w:hAnsi="Cambria"/>
          <w:sz w:val="22"/>
          <w:szCs w:val="22"/>
        </w:rPr>
      </w:pPr>
      <w:r>
        <w:rPr>
          <w:sz w:val="22"/>
          <w:szCs w:val="22"/>
        </w:rPr>
        <w:t xml:space="preserve">III.2. Concreción de los saberes básicos </w:t>
      </w:r>
    </w:p>
    <w:tbl>
      <w:tblPr>
        <w:tblW w:w="5000" w:type="pct"/>
        <w:jc w:val="left"/>
        <w:tblInd w:w="0" w:type="dxa"/>
        <w:tblCellMar>
          <w:top w:w="0" w:type="dxa"/>
          <w:left w:w="108" w:type="dxa"/>
          <w:bottom w:w="0" w:type="dxa"/>
          <w:right w:w="108" w:type="dxa"/>
        </w:tblCellMar>
        <w:tblLook w:firstRow="1" w:noVBand="1" w:lastRow="0" w:firstColumn="1" w:lastColumn="0" w:noHBand="0" w:val="04a0"/>
      </w:tblPr>
      <w:tblGrid>
        <w:gridCol w:w="2186"/>
        <w:gridCol w:w="6317"/>
      </w:tblGrid>
      <w:tr>
        <w:trPr/>
        <w:tc>
          <w:tcPr>
            <w:tcW w:w="8503" w:type="dxa"/>
            <w:gridSpan w:val="2"/>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A. Campo gravitatorio</w:t>
            </w:r>
          </w:p>
        </w:tc>
      </w:tr>
      <w:tr>
        <w:trPr/>
        <w:tc>
          <w:tcPr>
            <w:tcW w:w="8503" w:type="dxa"/>
            <w:gridSpan w:val="2"/>
            <w:tcBorders/>
            <w:shd w:color="auto" w:fill="DBE5F1" w:themeFill="accent1" w:themeFillTint="33" w:val="clear"/>
          </w:tcPr>
          <w:p>
            <w:pPr>
              <w:pStyle w:val="Normal"/>
              <w:widowControl w:val="false"/>
              <w:spacing w:lineRule="auto" w:line="240" w:before="0" w:after="0"/>
              <w:rPr>
                <w:rFonts w:ascii="Cambria" w:hAnsi="Cambria"/>
              </w:rPr>
            </w:pPr>
            <w:r>
              <w:rPr>
                <w:color w:val="000000"/>
                <w:sz w:val="22"/>
                <w:szCs w:val="22"/>
              </w:rPr>
              <w:t>La gravitación es una de las cuatro fuerzas o interacciones fundamentales del Universo conocidas hasta ahora, siendo en este curso el primer momento en el que se realiza su estudio formal desde el punto de vista de las fuerzas y de los campos. Así, se puede presentar el concepto de campo gravitatorio como aquel que permite encajar las piezas sueltas de la mecánica clásica relacionadas con la cinemática, la dinámica y la energía, vistas en cursos anteriores, dando respuesta matemática a afirmaciones que hasta ahora habían quedado sin una respuesta formal.</w:t>
            </w:r>
          </w:p>
        </w:tc>
      </w:tr>
      <w:tr>
        <w:trPr/>
        <w:tc>
          <w:tcPr>
            <w:tcW w:w="2186"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 xml:space="preserve">CRITERIOS DE EVALUACIÓN </w:t>
            </w:r>
          </w:p>
        </w:tc>
      </w:tr>
      <w:tr>
        <w:trPr/>
        <w:tc>
          <w:tcPr>
            <w:tcW w:w="2186" w:type="dxa"/>
            <w:tcBorders/>
            <w:shd w:color="auto" w:fill="auto" w:val="clear"/>
          </w:tcPr>
          <w:p>
            <w:pPr>
              <w:pStyle w:val="DC1"/>
              <w:widowControl w:val="false"/>
              <w:numPr>
                <w:ilvl w:val="0"/>
                <w:numId w:val="1"/>
              </w:numPr>
              <w:ind w:left="0" w:hanging="0"/>
              <w:rPr>
                <w:rFonts w:ascii="Cambria" w:hAnsi="Cambria"/>
                <w:sz w:val="22"/>
                <w:szCs w:val="22"/>
              </w:rPr>
            </w:pPr>
            <w:r>
              <w:rPr>
                <w:sz w:val="22"/>
                <w:szCs w:val="22"/>
              </w:rPr>
              <w:t>Determinación, a través del cálculo vectorial, del campo gravitatorio producido por un sistema de masas. Efectos sobre las variables cinemáticas y dinámicas de objetos inmersos en el campo.</w:t>
            </w:r>
          </w:p>
          <w:p>
            <w:pPr>
              <w:pStyle w:val="DC1"/>
              <w:widowControl w:val="false"/>
              <w:numPr>
                <w:ilvl w:val="0"/>
                <w:numId w:val="1"/>
              </w:numPr>
              <w:ind w:left="0" w:hanging="0"/>
              <w:rPr>
                <w:rFonts w:ascii="Cambria" w:hAnsi="Cambria"/>
                <w:sz w:val="22"/>
                <w:szCs w:val="22"/>
              </w:rPr>
            </w:pPr>
            <w:r>
              <w:rPr>
                <w:sz w:val="22"/>
                <w:szCs w:val="22"/>
              </w:rPr>
              <w:t>Momento angular de un objeto en un campo gravitatorio: cálculo, relación con las fuerzas centrales y aplicación de su conservación en el estudio de su movimiento.</w:t>
            </w:r>
          </w:p>
          <w:p>
            <w:pPr>
              <w:pStyle w:val="DC1"/>
              <w:widowControl w:val="false"/>
              <w:numPr>
                <w:ilvl w:val="0"/>
                <w:numId w:val="1"/>
              </w:numPr>
              <w:ind w:left="0" w:hanging="0"/>
              <w:rPr>
                <w:rFonts w:ascii="Cambria" w:hAnsi="Cambria"/>
                <w:sz w:val="22"/>
                <w:szCs w:val="22"/>
              </w:rPr>
            </w:pPr>
            <w:r>
              <w:rPr>
                <w:sz w:val="22"/>
                <w:szCs w:val="22"/>
              </w:rPr>
              <w:t>Energía mecánica de un objeto sometido a un campo gravitatorio: deducción del tipo de movimiento que posee, cálculo del trabajo o los balances energéticos existentes en desplazamientos entre distintas posiciones, velocidades y tipos de trayectorias.</w:t>
            </w:r>
          </w:p>
          <w:p>
            <w:pPr>
              <w:pStyle w:val="DC1"/>
              <w:widowControl w:val="false"/>
              <w:numPr>
                <w:ilvl w:val="0"/>
                <w:numId w:val="1"/>
              </w:numPr>
              <w:ind w:left="0" w:hanging="0"/>
              <w:rPr>
                <w:rFonts w:ascii="Cambria" w:hAnsi="Cambria"/>
                <w:sz w:val="22"/>
                <w:szCs w:val="22"/>
              </w:rPr>
            </w:pPr>
            <w:r>
              <w:rPr>
                <w:sz w:val="22"/>
                <w:szCs w:val="22"/>
              </w:rPr>
              <w:t>Leyes que se verifican en el movimiento planetario y extrapolación al movimiento de satélites y cuerpos celestes.</w:t>
            </w:r>
          </w:p>
          <w:p>
            <w:pPr>
              <w:pStyle w:val="DC1"/>
              <w:widowControl w:val="false"/>
              <w:numPr>
                <w:ilvl w:val="0"/>
                <w:numId w:val="1"/>
              </w:numPr>
              <w:ind w:left="0" w:hanging="0"/>
              <w:rPr>
                <w:rFonts w:ascii="Cambria" w:hAnsi="Cambria"/>
                <w:sz w:val="22"/>
                <w:szCs w:val="22"/>
              </w:rPr>
            </w:pPr>
            <w:r>
              <w:rPr>
                <w:sz w:val="22"/>
                <w:szCs w:val="22"/>
              </w:rPr>
              <w:t>Introducción a la cosmología y la astrofísica como aplicación del campo gravitatorio: implicación de la Física en la evolución de objetos astronómicos, del conocimiento del universo y repercusión de la investigación en estos ámbitos en la industria, la tecnología, la economía y en la sociedad.</w:t>
            </w:r>
          </w:p>
        </w:tc>
        <w:tc>
          <w:tcPr>
            <w:tcW w:w="6317" w:type="dxa"/>
            <w:tcBorders/>
            <w:shd w:color="auto" w:fill="auto" w:val="clear"/>
          </w:tcPr>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rFonts w:ascii="Cambria" w:hAnsi="Cambria"/>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2.1. Analizar y comprender la evolución de los sistemas naturales, utilizando modelos, leyes y teorías de la Física.</w:t>
            </w:r>
          </w:p>
          <w:p>
            <w:pPr>
              <w:pStyle w:val="Normal"/>
              <w:widowControl w:val="false"/>
              <w:spacing w:lineRule="auto" w:line="240" w:before="0" w:after="0"/>
              <w:rPr>
                <w:rFonts w:ascii="Cambria" w:hAnsi="Cambria"/>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rFonts w:ascii="Cambria" w:hAnsi="Cambria"/>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rFonts w:ascii="Cambria" w:hAnsi="Cambria"/>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rFonts w:ascii="Cambria" w:hAnsi="Cambria"/>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rFonts w:ascii="Cambria" w:hAnsi="Cambria"/>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rFonts w:ascii="Cambria" w:hAnsi="Cambria"/>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rFonts w:ascii="Cambria" w:hAnsi="Cambria"/>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rFonts w:ascii="Cambria" w:hAnsi="Cambria"/>
              </w:rPr>
            </w:pPr>
            <w:bookmarkStart w:id="3" w:name="__DdeLink__4378_621319393"/>
            <w:r>
              <w:rPr>
                <w:sz w:val="22"/>
                <w:szCs w:val="22"/>
              </w:rPr>
              <w:t>6.2. Reconocer el carácter multidisciplinar de la ciencia y las contribuciones de unas disciplinas sobre otras, estableciendo relaciones entre la Física y la Química, la Biología o las Matemáticas.</w:t>
            </w:r>
            <w:bookmarkEnd w:id="3"/>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libri" w:hAnsi="Calibri"/>
                <w:sz w:val="22"/>
                <w:szCs w:val="22"/>
              </w:rPr>
            </w:pPr>
            <w:r>
              <w:rPr>
                <w:sz w:val="22"/>
                <w:szCs w:val="22"/>
              </w:rPr>
            </w:r>
          </w:p>
        </w:tc>
      </w:tr>
      <w:tr>
        <w:trPr/>
        <w:tc>
          <w:tcPr>
            <w:tcW w:w="8503" w:type="dxa"/>
            <w:gridSpan w:val="2"/>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B. Campo electromagnético</w:t>
            </w:r>
          </w:p>
        </w:tc>
      </w:tr>
      <w:tr>
        <w:trPr/>
        <w:tc>
          <w:tcPr>
            <w:tcW w:w="8503" w:type="dxa"/>
            <w:gridSpan w:val="2"/>
            <w:tcBorders/>
            <w:shd w:color="auto" w:fill="DBE5F1" w:themeFill="accent1" w:themeFillTint="33" w:val="clear"/>
          </w:tcPr>
          <w:p>
            <w:pPr>
              <w:pStyle w:val="Normal"/>
              <w:widowControl w:val="false"/>
              <w:spacing w:lineRule="auto" w:line="240" w:before="0" w:after="0"/>
              <w:rPr>
                <w:rFonts w:ascii="Cambria" w:hAnsi="Cambria"/>
              </w:rPr>
            </w:pPr>
            <w:r>
              <w:rPr>
                <w:color w:val="000000"/>
                <w:sz w:val="22"/>
                <w:szCs w:val="22"/>
              </w:rPr>
              <w:t>Este bloque de conocimientos, destrezas y actitudes debe permitir al alumnado realizar una aproximación con relativa profundidad al estudio de la interacción electromagnética. Una forma de afrontar dichos contenidos puede ser estableciendo tres sub-bloques: el estudio de la interacción electrostática y el estudio del campo eléctrico; el estudio de campo magnético y los fenómenos asociados; y finalmente el estudio de la interacción entre ambos campos y algunas de sus aplicaciones más importantes.</w:t>
            </w:r>
          </w:p>
        </w:tc>
      </w:tr>
      <w:tr>
        <w:trPr/>
        <w:tc>
          <w:tcPr>
            <w:tcW w:w="2186"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 xml:space="preserve">Criterios de Evaluación </w:t>
            </w:r>
          </w:p>
        </w:tc>
      </w:tr>
      <w:tr>
        <w:trPr/>
        <w:tc>
          <w:tcPr>
            <w:tcW w:w="2186" w:type="dxa"/>
            <w:tcBorders/>
            <w:shd w:color="auto" w:fill="auto" w:val="clear"/>
          </w:tcPr>
          <w:p>
            <w:pPr>
              <w:pStyle w:val="DC1"/>
              <w:widowControl w:val="false"/>
              <w:numPr>
                <w:ilvl w:val="0"/>
                <w:numId w:val="1"/>
              </w:numPr>
              <w:ind w:left="0" w:hanging="0"/>
              <w:rPr>
                <w:rFonts w:ascii="Cambria" w:hAnsi="Cambria"/>
                <w:sz w:val="22"/>
                <w:szCs w:val="22"/>
              </w:rPr>
            </w:pPr>
            <w:r>
              <w:rPr>
                <w:sz w:val="22"/>
                <w:szCs w:val="22"/>
              </w:rPr>
              <w:t>Campos eléctrico y magnético: tratamiento vectorial, determinación de las variables cinemáticas y dinámicas de cargas eléctricas libres en presencia de estos campos. Fenómenos naturales y aplicaciones tecnológicas en los que se aprecian estos efectos.</w:t>
            </w:r>
          </w:p>
          <w:p>
            <w:pPr>
              <w:pStyle w:val="DC1"/>
              <w:widowControl w:val="false"/>
              <w:numPr>
                <w:ilvl w:val="0"/>
                <w:numId w:val="1"/>
              </w:numPr>
              <w:ind w:left="0" w:hanging="0"/>
              <w:rPr>
                <w:rFonts w:ascii="Cambria" w:hAnsi="Cambria"/>
                <w:sz w:val="22"/>
                <w:szCs w:val="22"/>
              </w:rPr>
            </w:pPr>
            <w:r>
              <w:rPr>
                <w:sz w:val="22"/>
                <w:szCs w:val="22"/>
              </w:rPr>
              <w:t>Intensidad del campo eléctrico en distribuciones de cargas discretas, y continuas: cálculo e interpretación del flujo de campo eléctrico.</w:t>
            </w:r>
          </w:p>
          <w:p>
            <w:pPr>
              <w:pStyle w:val="DC1"/>
              <w:widowControl w:val="false"/>
              <w:numPr>
                <w:ilvl w:val="0"/>
                <w:numId w:val="1"/>
              </w:numPr>
              <w:ind w:left="0" w:hanging="0"/>
              <w:rPr>
                <w:rFonts w:ascii="Cambria" w:hAnsi="Cambria"/>
                <w:sz w:val="22"/>
                <w:szCs w:val="22"/>
              </w:rPr>
            </w:pPr>
            <w:r>
              <w:rPr>
                <w:sz w:val="22"/>
                <w:szCs w:val="22"/>
              </w:rPr>
              <w:t>Energía de una distribución cargas estáticas: magnitudes que se modifican y que permanecen constantes con el desplazamiento de cargas libres entre puntos de distinto potencial eléctrico.</w:t>
            </w:r>
          </w:p>
          <w:p>
            <w:pPr>
              <w:pStyle w:val="DC1"/>
              <w:widowControl w:val="false"/>
              <w:numPr>
                <w:ilvl w:val="0"/>
                <w:numId w:val="1"/>
              </w:numPr>
              <w:ind w:left="0" w:hanging="0"/>
              <w:rPr>
                <w:rFonts w:ascii="Cambria" w:hAnsi="Cambria"/>
                <w:sz w:val="22"/>
                <w:szCs w:val="22"/>
              </w:rPr>
            </w:pPr>
            <w:r>
              <w:rPr>
                <w:sz w:val="22"/>
                <w:szCs w:val="22"/>
              </w:rPr>
              <w:t>Campos magnéticos generados por hilos con corriente eléctrica en distintas configuraciones geométricas: rectilíneos, espiras, solenoides o toros. Interacción con cargas eléctricas libres presentes en su entorno.</w:t>
            </w:r>
          </w:p>
          <w:p>
            <w:pPr>
              <w:pStyle w:val="DC1"/>
              <w:widowControl w:val="false"/>
              <w:numPr>
                <w:ilvl w:val="0"/>
                <w:numId w:val="1"/>
              </w:numPr>
              <w:ind w:left="0" w:hanging="0"/>
              <w:rPr>
                <w:rFonts w:ascii="Cambria" w:hAnsi="Cambria"/>
                <w:sz w:val="22"/>
                <w:szCs w:val="22"/>
              </w:rPr>
            </w:pPr>
            <w:r>
              <w:rPr>
                <w:sz w:val="22"/>
                <w:szCs w:val="22"/>
              </w:rPr>
              <w:t>Líneas de campo eléctrico y magnético producido por distribuciones de carga sencillas, imanes e hilos con corriente eléctrica en distintas configuraciones geométricas.</w:t>
            </w:r>
          </w:p>
          <w:p>
            <w:pPr>
              <w:pStyle w:val="DC1"/>
              <w:widowControl w:val="false"/>
              <w:numPr>
                <w:ilvl w:val="0"/>
                <w:numId w:val="1"/>
              </w:numPr>
              <w:ind w:left="0" w:hanging="0"/>
              <w:rPr>
                <w:rFonts w:ascii="Cambria" w:hAnsi="Cambria"/>
                <w:sz w:val="22"/>
                <w:szCs w:val="22"/>
              </w:rPr>
            </w:pPr>
            <w:r>
              <w:rPr>
                <w:sz w:val="22"/>
                <w:szCs w:val="22"/>
              </w:rPr>
              <w:t>Generación de la fuerza electromotriz: funcionamiento de motores, generadores y transformadores a partir de sistemas donde se produce una variación del flujo magnético.</w:t>
            </w:r>
          </w:p>
        </w:tc>
        <w:tc>
          <w:tcPr>
            <w:tcW w:w="6317" w:type="dxa"/>
            <w:tcBorders/>
            <w:shd w:color="auto" w:fill="auto" w:val="clear"/>
          </w:tcPr>
          <w:p>
            <w:pPr>
              <w:pStyle w:val="NormalWeb"/>
              <w:widowControl w:val="false"/>
              <w:spacing w:beforeAutospacing="0" w:before="0" w:afterAutospacing="0" w:after="0"/>
              <w:jc w:val="both"/>
              <w:rPr>
                <w:rFonts w:ascii="Cambria" w:hAnsi="Cambria"/>
                <w:sz w:val="22"/>
                <w:szCs w:val="22"/>
              </w:rPr>
            </w:pPr>
            <w:r>
              <w:rPr>
                <w:rFonts w:cs="Calibri" w:ascii="Calibri" w:hAnsi="Calibri"/>
                <w:color w:val="000000"/>
                <w:sz w:val="22"/>
                <w:szCs w:val="22"/>
              </w:rPr>
              <w:t xml:space="preserve"> </w:t>
            </w:r>
            <w:r>
              <w:rPr>
                <w:rFonts w:cs="Calibri" w:ascii="Calibri" w:hAnsi="Calibri"/>
                <w:color w:val="000000"/>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rFonts w:ascii="Cambria" w:hAnsi="Cambria"/>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2.1. Analizar y comprender la evolución de los sistemas naturales, utilizando modelos, leyes y teorías de la Física.</w:t>
            </w:r>
          </w:p>
          <w:p>
            <w:pPr>
              <w:pStyle w:val="Normal"/>
              <w:widowControl w:val="false"/>
              <w:spacing w:lineRule="auto" w:line="240" w:before="0" w:after="0"/>
              <w:rPr>
                <w:rFonts w:ascii="Cambria" w:hAnsi="Cambria"/>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rFonts w:ascii="Cambria" w:hAnsi="Cambria"/>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rFonts w:ascii="Cambria" w:hAnsi="Cambria"/>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rFonts w:ascii="Cambria" w:hAnsi="Cambria"/>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rFonts w:ascii="Cambria" w:hAnsi="Cambria"/>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rFonts w:ascii="Cambria" w:hAnsi="Cambria"/>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rFonts w:ascii="Cambria" w:hAnsi="Cambria"/>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Web"/>
              <w:widowControl w:val="false"/>
              <w:spacing w:beforeAutospacing="0" w:before="0" w:afterAutospacing="0" w:after="0"/>
              <w:jc w:val="both"/>
              <w:rPr>
                <w:rFonts w:ascii="Cambria" w:hAnsi="Cambria"/>
                <w:sz w:val="22"/>
                <w:szCs w:val="22"/>
              </w:rPr>
            </w:pPr>
            <w:r>
              <w:rPr>
                <w:rFonts w:cs="Calibri" w:ascii="Calibri" w:hAnsi="Calibri"/>
                <w:color w:val="000000"/>
                <w:sz w:val="22"/>
                <w:szCs w:val="22"/>
              </w:rPr>
              <w:t>6.2. Reconocer el carácter multidisciplinar de la ciencia y las contribuciones de unas disciplinas sobre otras, estableciendo relaciones entre la Física y la Química, la Biología o las Matemáticas.</w:t>
            </w:r>
          </w:p>
        </w:tc>
      </w:tr>
      <w:tr>
        <w:trPr/>
        <w:tc>
          <w:tcPr>
            <w:tcW w:w="8503" w:type="dxa"/>
            <w:gridSpan w:val="2"/>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C. Vibraciones y ondas</w:t>
            </w:r>
          </w:p>
        </w:tc>
      </w:tr>
      <w:tr>
        <w:trPr/>
        <w:tc>
          <w:tcPr>
            <w:tcW w:w="8503" w:type="dxa"/>
            <w:gridSpan w:val="2"/>
            <w:tcBorders/>
            <w:shd w:color="auto" w:fill="DBE5F1" w:themeFill="accent1" w:themeFillTint="33" w:val="clear"/>
          </w:tcPr>
          <w:p>
            <w:pPr>
              <w:pStyle w:val="Normal"/>
              <w:widowControl w:val="false"/>
              <w:spacing w:lineRule="auto" w:line="240" w:before="0" w:after="0"/>
              <w:rPr>
                <w:rFonts w:ascii="Cambria" w:hAnsi="Cambria"/>
              </w:rPr>
            </w:pPr>
            <w:r>
              <w:rPr>
                <w:color w:val="000000"/>
                <w:sz w:val="22"/>
                <w:szCs w:val="22"/>
              </w:rPr>
              <w:t>El bloque de conocimientos, destrezas y actitudes dedicado al estudio del movimiento oscilatorio y las ondas engloba un amplio espectro de fenómenos físicos. En este sentido, podrían establecerse tres sub-bloques de conocimientos que de forma secuencial establezcan el desarrollo de todo el bloque. En primer lugar, se recomienda comenzar con el estudio del movimiento oscilatorio. En segundo lugar y partiendo de los conocimientos del primer sub-bloque se afronta el estudio del movimiento ondulatorio y los fenómenos naturales asociados a este (con una atención especial al estudio de las ondas de sonido). El último sub-bloque aborda el estudio de la naturaleza de la luz en su comportamiento ondulatorio, entre los que se encuentran los fenómenos más importantes relacionados con el estudio de la óptica.</w:t>
            </w:r>
          </w:p>
        </w:tc>
      </w:tr>
      <w:tr>
        <w:trPr/>
        <w:tc>
          <w:tcPr>
            <w:tcW w:w="2186"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 xml:space="preserve">Criterios de evaluación </w:t>
            </w:r>
          </w:p>
        </w:tc>
      </w:tr>
      <w:tr>
        <w:trPr/>
        <w:tc>
          <w:tcPr>
            <w:tcW w:w="2186" w:type="dxa"/>
            <w:tcBorders/>
            <w:shd w:color="auto" w:fill="auto" w:val="clear"/>
          </w:tcPr>
          <w:p>
            <w:pPr>
              <w:pStyle w:val="DC1"/>
              <w:widowControl w:val="false"/>
              <w:numPr>
                <w:ilvl w:val="0"/>
                <w:numId w:val="1"/>
              </w:numPr>
              <w:ind w:left="0" w:hanging="0"/>
              <w:rPr>
                <w:rFonts w:ascii="Cambria" w:hAnsi="Cambria"/>
                <w:sz w:val="22"/>
                <w:szCs w:val="22"/>
              </w:rPr>
            </w:pPr>
            <w:r>
              <w:rPr>
                <w:sz w:val="22"/>
                <w:szCs w:val="22"/>
              </w:rPr>
              <w:t>Movimiento oscilatorio: variables cinemáticas de un cuerpo oscilante y conservación de energía en estos sistemas.</w:t>
            </w:r>
          </w:p>
          <w:p>
            <w:pPr>
              <w:pStyle w:val="DC1"/>
              <w:widowControl w:val="false"/>
              <w:numPr>
                <w:ilvl w:val="0"/>
                <w:numId w:val="1"/>
              </w:numPr>
              <w:ind w:left="0" w:hanging="0"/>
              <w:rPr>
                <w:rFonts w:ascii="Cambria" w:hAnsi="Cambria"/>
                <w:sz w:val="22"/>
                <w:szCs w:val="22"/>
              </w:rPr>
            </w:pPr>
            <w:r>
              <w:rPr>
                <w:sz w:val="22"/>
                <w:szCs w:val="22"/>
              </w:rPr>
              <w:t>Movimiento ondulatorio: gráficas de oscilación en función de la posición y del tiempo, ecuación de onda que lo describe y relación con el movimiento armónico simple. Distintos tipos de movimientos ondulatorios en la naturaleza.</w:t>
            </w:r>
          </w:p>
          <w:p>
            <w:pPr>
              <w:pStyle w:val="DC1"/>
              <w:widowControl w:val="false"/>
              <w:numPr>
                <w:ilvl w:val="0"/>
                <w:numId w:val="1"/>
              </w:numPr>
              <w:ind w:left="0" w:hanging="0"/>
              <w:rPr>
                <w:rFonts w:ascii="Cambria" w:hAnsi="Cambria"/>
                <w:sz w:val="22"/>
                <w:szCs w:val="22"/>
              </w:rPr>
            </w:pPr>
            <w:r>
              <w:rPr>
                <w:sz w:val="22"/>
                <w:szCs w:val="22"/>
              </w:rPr>
              <w:t>Fenómenos ondulatorios: situaciones y contextos naturales en los que se ponen de manifiesto distintos fenómenos ondulatorios y aplicaciones. Ondas sonoras y sus cualidades.</w:t>
            </w:r>
          </w:p>
          <w:p>
            <w:pPr>
              <w:pStyle w:val="DC1"/>
              <w:widowControl w:val="false"/>
              <w:numPr>
                <w:ilvl w:val="0"/>
                <w:numId w:val="1"/>
              </w:numPr>
              <w:ind w:left="0" w:hanging="0"/>
              <w:rPr>
                <w:rFonts w:ascii="Cambria" w:hAnsi="Cambria"/>
                <w:sz w:val="22"/>
                <w:szCs w:val="22"/>
              </w:rPr>
            </w:pPr>
            <w:r>
              <w:rPr>
                <w:sz w:val="22"/>
                <w:szCs w:val="22"/>
              </w:rPr>
              <w:t>Naturaleza de la luz: controversias y debates históricos. La luz como onda electromagnética. Espectro electromagnético.</w:t>
            </w:r>
          </w:p>
          <w:p>
            <w:pPr>
              <w:pStyle w:val="DC1"/>
              <w:widowControl w:val="false"/>
              <w:numPr>
                <w:ilvl w:val="0"/>
                <w:numId w:val="1"/>
              </w:numPr>
              <w:ind w:left="0" w:hanging="0"/>
              <w:rPr>
                <w:rFonts w:ascii="Cambria" w:hAnsi="Cambria"/>
                <w:sz w:val="22"/>
                <w:szCs w:val="22"/>
              </w:rPr>
            </w:pPr>
            <w:r>
              <w:rPr>
                <w:sz w:val="22"/>
                <w:szCs w:val="22"/>
              </w:rPr>
              <w:t>Formación de imágenes en medios y objetos con distinto índice de refracción. Sistemas ópticos: lentes delgadas, espejos planos y curvos y sus aplicaciones.</w:t>
            </w:r>
          </w:p>
        </w:tc>
        <w:tc>
          <w:tcPr>
            <w:tcW w:w="6317" w:type="dxa"/>
            <w:tcBorders/>
            <w:shd w:color="auto" w:fill="auto" w:val="clear"/>
          </w:tcPr>
          <w:p>
            <w:pPr>
              <w:pStyle w:val="Normal"/>
              <w:widowControl w:val="false"/>
              <w:spacing w:lineRule="auto" w:line="240" w:before="0" w:after="0"/>
              <w:rPr>
                <w:rFonts w:ascii="Cambria" w:hAnsi="Cambria"/>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rFonts w:ascii="Cambria" w:hAnsi="Cambria"/>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2.1. Analizar y comprender la evolución de los sistemas naturales, utilizando modelos, leyes y teorías de la Física.</w:t>
            </w:r>
          </w:p>
          <w:p>
            <w:pPr>
              <w:pStyle w:val="Normal"/>
              <w:widowControl w:val="false"/>
              <w:spacing w:lineRule="auto" w:line="240" w:before="0" w:after="0"/>
              <w:rPr>
                <w:rFonts w:ascii="Cambria" w:hAnsi="Cambria"/>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rFonts w:ascii="Cambria" w:hAnsi="Cambria"/>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rFonts w:ascii="Cambria" w:hAnsi="Cambria"/>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rFonts w:ascii="Cambria" w:hAnsi="Cambria"/>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rFonts w:ascii="Cambria" w:hAnsi="Cambria"/>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rFonts w:ascii="Cambria" w:hAnsi="Cambria"/>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rFonts w:ascii="Cambria" w:hAnsi="Cambria"/>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rFonts w:ascii="Cambria" w:hAnsi="Cambria"/>
              </w:rPr>
            </w:pPr>
            <w:r>
              <w:rPr>
                <w:sz w:val="22"/>
                <w:szCs w:val="22"/>
              </w:rPr>
              <w:t>6.2. Reconocer el carácter multidisciplinar de la ciencia y las contribuciones de unas disciplinas sobre otras, estableciendo relaciones entre la Física y la Química, la Biología o las Matemáticas.</w:t>
            </w:r>
          </w:p>
        </w:tc>
      </w:tr>
      <w:tr>
        <w:trPr/>
        <w:tc>
          <w:tcPr>
            <w:tcW w:w="8503" w:type="dxa"/>
            <w:gridSpan w:val="2"/>
            <w:tcBorders/>
            <w:shd w:color="auto" w:fill="92CDDC" w:themeFill="accent5" w:themeFillTint="99" w:val="clear"/>
          </w:tcPr>
          <w:p>
            <w:pPr>
              <w:pStyle w:val="Normal"/>
              <w:widowControl w:val="false"/>
              <w:spacing w:lineRule="auto" w:line="240" w:before="0" w:after="0"/>
              <w:jc w:val="center"/>
              <w:rPr>
                <w:rFonts w:ascii="Cambria" w:hAnsi="Cambria"/>
              </w:rPr>
            </w:pPr>
            <w:r>
              <w:rPr>
                <w:b/>
                <w:sz w:val="22"/>
                <w:szCs w:val="22"/>
              </w:rPr>
              <w:t>D. Física relativista, cuántica, nuclear y de partículas</w:t>
            </w:r>
          </w:p>
        </w:tc>
      </w:tr>
      <w:tr>
        <w:trPr/>
        <w:tc>
          <w:tcPr>
            <w:tcW w:w="8503" w:type="dxa"/>
            <w:gridSpan w:val="2"/>
            <w:tcBorders/>
            <w:shd w:color="auto" w:fill="DBE5F1" w:themeFill="accent1" w:themeFillTint="33" w:val="clear"/>
          </w:tcPr>
          <w:p>
            <w:pPr>
              <w:pStyle w:val="Normal"/>
              <w:widowControl w:val="false"/>
              <w:spacing w:lineRule="auto" w:line="240" w:before="0" w:after="0"/>
              <w:rPr>
                <w:rFonts w:ascii="Cambria" w:hAnsi="Cambria"/>
              </w:rPr>
            </w:pPr>
            <w:r>
              <w:rPr>
                <w:color w:val="000000"/>
                <w:sz w:val="22"/>
                <w:szCs w:val="22"/>
              </w:rPr>
              <w:t>Los contenidos desarrollados hasta este momento cierran los fundamentos del imponente edificio que se conoce como Física Clásica y corresponde a todos los saberes que implican a la Física, acumulados desde el principio de los tiempos hasta comienzos del siglo XX. En ese momento, nada indicaba que pudieran aparecer fisuras en este edificio, sin embargo, una serie de fenómenos sin explicar dan origen a lo que conocemos como revolución relativista y cuántica, asociadas a la formulación de la teoría de la relatividad y a la mecánica cuántica. Esta crisis en la concepción de la naturaleza y el universo durante el primer cuarto del siglo XX da origen al desarrollo de la Física Moderna.</w:t>
            </w:r>
          </w:p>
        </w:tc>
      </w:tr>
      <w:tr>
        <w:trPr/>
        <w:tc>
          <w:tcPr>
            <w:tcW w:w="2186"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Conocimientos, destrezas y actitudes</w:t>
            </w:r>
          </w:p>
        </w:tc>
        <w:tc>
          <w:tcPr>
            <w:tcW w:w="6317" w:type="dxa"/>
            <w:tcBorders/>
            <w:shd w:color="auto" w:fill="D9D9D9" w:themeFill="background1" w:themeFillShade="d9" w:val="clear"/>
          </w:tcPr>
          <w:p>
            <w:pPr>
              <w:pStyle w:val="Normal"/>
              <w:widowControl w:val="false"/>
              <w:spacing w:lineRule="auto" w:line="240" w:before="0" w:after="0"/>
              <w:jc w:val="center"/>
              <w:rPr>
                <w:rFonts w:ascii="Cambria" w:hAnsi="Cambria"/>
              </w:rPr>
            </w:pPr>
            <w:r>
              <w:rPr>
                <w:i/>
                <w:sz w:val="22"/>
                <w:szCs w:val="22"/>
              </w:rPr>
              <w:t>Orientaciones para la enseñanza</w:t>
            </w:r>
          </w:p>
        </w:tc>
      </w:tr>
      <w:tr>
        <w:trPr/>
        <w:tc>
          <w:tcPr>
            <w:tcW w:w="2186" w:type="dxa"/>
            <w:tcBorders/>
            <w:shd w:color="auto" w:fill="auto" w:val="clear"/>
          </w:tcPr>
          <w:p>
            <w:pPr>
              <w:pStyle w:val="DC1"/>
              <w:widowControl w:val="false"/>
              <w:numPr>
                <w:ilvl w:val="0"/>
                <w:numId w:val="1"/>
              </w:numPr>
              <w:ind w:left="0" w:hanging="0"/>
              <w:rPr>
                <w:rFonts w:ascii="Cambria" w:hAnsi="Cambria"/>
                <w:sz w:val="22"/>
                <w:szCs w:val="22"/>
              </w:rPr>
            </w:pPr>
            <w:r>
              <w:rPr>
                <w:sz w:val="22"/>
                <w:szCs w:val="22"/>
              </w:rPr>
              <w:t>Principios de la relatividad, de la Física cuántica y de la Física de partículas en el estudio de las principales partículas involucradas en la Física atómica y nuclear: propiedades e interacciones. Implicaciones de la dualidad onda-corpúsculo y del principio de incertidumbre.</w:t>
            </w:r>
          </w:p>
          <w:p>
            <w:pPr>
              <w:pStyle w:val="DC1"/>
              <w:widowControl w:val="false"/>
              <w:numPr>
                <w:ilvl w:val="0"/>
                <w:numId w:val="1"/>
              </w:numPr>
              <w:ind w:left="0" w:hanging="0"/>
              <w:rPr>
                <w:rFonts w:ascii="Cambria" w:hAnsi="Cambria"/>
                <w:sz w:val="22"/>
                <w:szCs w:val="22"/>
              </w:rPr>
            </w:pPr>
            <w:r>
              <w:rPr>
                <w:sz w:val="22"/>
                <w:szCs w:val="22"/>
              </w:rPr>
              <w:t>El efecto fotoeléctrico como sistema de transformación energética y de producción de diferencias de potencial eléctrico para su aplicación tecnológica.</w:t>
            </w:r>
          </w:p>
          <w:p>
            <w:pPr>
              <w:pStyle w:val="DC1"/>
              <w:widowControl w:val="false"/>
              <w:numPr>
                <w:ilvl w:val="0"/>
                <w:numId w:val="1"/>
              </w:numPr>
              <w:ind w:left="0" w:hanging="0"/>
              <w:rPr>
                <w:rFonts w:ascii="Cambria" w:hAnsi="Cambria"/>
                <w:sz w:val="22"/>
                <w:szCs w:val="22"/>
              </w:rPr>
            </w:pPr>
            <w:r>
              <w:rPr>
                <w:sz w:val="22"/>
                <w:szCs w:val="22"/>
              </w:rPr>
              <w:t>Radiactividad natural: procesos y constantes implicados que permiten el cálculo de la variación poblacional y actividad de muestras radiactivas. Aplicación en el campo de las ciencias y de la salud.</w:t>
            </w:r>
          </w:p>
        </w:tc>
        <w:tc>
          <w:tcPr>
            <w:tcW w:w="6317" w:type="dxa"/>
            <w:tcBorders/>
            <w:shd w:color="auto" w:fill="auto" w:val="clear"/>
          </w:tcPr>
          <w:p>
            <w:pPr>
              <w:pStyle w:val="Normal"/>
              <w:widowControl w:val="false"/>
              <w:spacing w:lineRule="auto" w:line="240" w:before="0" w:after="0"/>
              <w:rPr>
                <w:rFonts w:ascii="Cambria" w:hAnsi="Cambria"/>
              </w:rPr>
            </w:pPr>
            <w:r>
              <w:rPr>
                <w:sz w:val="22"/>
                <w:szCs w:val="22"/>
              </w:rPr>
              <w:t>1.1. Reconocer la relevancia de la Física en el desarrollo de la ciencia, tecnología, la economía, la sociedad y la sostenibilidad ambiental, empleando adecuadamente los fundamentos científicos relativos a esos ámbitos.</w:t>
            </w:r>
          </w:p>
          <w:p>
            <w:pPr>
              <w:pStyle w:val="Normal"/>
              <w:widowControl w:val="false"/>
              <w:spacing w:lineRule="auto" w:line="240" w:before="0" w:after="0"/>
              <w:rPr>
                <w:rFonts w:ascii="Cambria" w:hAnsi="Cambria"/>
              </w:rPr>
            </w:pPr>
            <w:r>
              <w:rPr>
                <w:sz w:val="22"/>
                <w:szCs w:val="22"/>
              </w:rPr>
              <w:t>1.2. Resolver problemas de manera experimental y analítica, utilizando principios, leyes y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2.1. Analizar y comprender la evolución de los sistemas naturales, utilizando modelos, leyes y teorías de la Física.</w:t>
            </w:r>
          </w:p>
          <w:p>
            <w:pPr>
              <w:pStyle w:val="Normal"/>
              <w:widowControl w:val="false"/>
              <w:spacing w:lineRule="auto" w:line="240" w:before="0" w:after="0"/>
              <w:rPr>
                <w:rFonts w:ascii="Cambria" w:hAnsi="Cambria"/>
              </w:rPr>
            </w:pPr>
            <w:r>
              <w:rPr>
                <w:sz w:val="22"/>
                <w:szCs w:val="22"/>
              </w:rPr>
              <w:t>2.2. Inferir soluciones generales a problemas generales a partir del análisis de situaciones particulares y las variables de que dependen.</w:t>
            </w:r>
          </w:p>
          <w:p>
            <w:pPr>
              <w:pStyle w:val="Normal"/>
              <w:widowControl w:val="false"/>
              <w:spacing w:lineRule="auto" w:line="240" w:before="0" w:after="0"/>
              <w:rPr>
                <w:rFonts w:ascii="Cambria" w:hAnsi="Cambria"/>
              </w:rPr>
            </w:pPr>
            <w:r>
              <w:rPr>
                <w:sz w:val="22"/>
                <w:szCs w:val="22"/>
              </w:rPr>
              <w:t>2.3. Conocer aplicaciones prácticas y productos útiles para la sociedad en el campo tecnológico, industrial y biosanitario, analizándolos en base a los modelos, las leyes y las teorías de la Física.</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3.1. Aplicar los principios, leyes y teorías científicas en el análisis crítico de procesos físicos del entorno, como los observados y los publicados en distintos medios de comunicación, analizando, comprendiendo y explicando las causas que los producen.</w:t>
            </w:r>
          </w:p>
          <w:p>
            <w:pPr>
              <w:pStyle w:val="Normal"/>
              <w:widowControl w:val="false"/>
              <w:spacing w:lineRule="auto" w:line="240" w:before="0" w:after="0"/>
              <w:rPr>
                <w:rFonts w:ascii="Cambria" w:hAnsi="Cambria"/>
              </w:rPr>
            </w:pPr>
            <w:r>
              <w:rPr>
                <w:sz w:val="22"/>
                <w:szCs w:val="22"/>
              </w:rPr>
              <w:t>3.2. Utilizar de manera rigurosa las unidades de las variables Físicas en diferentes sistemas de unidades, empleando correctamente su notación y sus equivalencias, así como la elaboración e interpretación adecuada de gráficas que relacionan variables Físicas, posibilitando una comunicación efectiva con toda la comunidad científica.</w:t>
            </w:r>
          </w:p>
          <w:p>
            <w:pPr>
              <w:pStyle w:val="Normal"/>
              <w:widowControl w:val="false"/>
              <w:spacing w:lineRule="auto" w:line="240" w:before="0" w:after="0"/>
              <w:rPr>
                <w:rFonts w:ascii="Cambria" w:hAnsi="Cambria"/>
              </w:rPr>
            </w:pPr>
            <w:r>
              <w:rPr>
                <w:sz w:val="22"/>
                <w:szCs w:val="22"/>
              </w:rPr>
              <w:t>3.3. Expresar de forma adecuada los resultados, argumentando las soluciones obtenidas, en la resolución de los ejercicios y problemas que se plantean, bien sea a través de situaciones reales o ideales.</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4.1. Consultar, elaborar e intercambiar materiales científicos y divulgativos en distintos formatos con otros miembros del entorno de aprendizaje, utilizando de forma autónoma y eficiente plataformas digitales.</w:t>
            </w:r>
          </w:p>
          <w:p>
            <w:pPr>
              <w:pStyle w:val="Normal"/>
              <w:widowControl w:val="false"/>
              <w:spacing w:lineRule="auto" w:line="240" w:before="0" w:after="0"/>
              <w:rPr>
                <w:rFonts w:ascii="Cambria" w:hAnsi="Cambria"/>
              </w:rPr>
            </w:pPr>
            <w:r>
              <w:rPr>
                <w:sz w:val="22"/>
                <w:szCs w:val="22"/>
              </w:rPr>
              <w:t>4.2. Usar de forma crítica, ética y responsable medios de comunicación digitales y tradicionales como modo de enriquecer el aprendizaje y el trabajo individual y colectivo.</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5.1. Obtener relaciones entre variables Físicas, midiendo y tratando los datos experimentales, determinando los errores y utilizando sistemas de representación gráfica.</w:t>
            </w:r>
          </w:p>
          <w:p>
            <w:pPr>
              <w:pStyle w:val="Normal"/>
              <w:widowControl w:val="false"/>
              <w:spacing w:lineRule="auto" w:line="240" w:before="0" w:after="0"/>
              <w:rPr>
                <w:rFonts w:ascii="Cambria" w:hAnsi="Cambria"/>
              </w:rPr>
            </w:pPr>
            <w:r>
              <w:rPr>
                <w:sz w:val="22"/>
                <w:szCs w:val="22"/>
              </w:rPr>
              <w:t>5.2. Reproducir en laboratorios, sean reales o virtuales, determinados procesos físicos modificando las variables que los condicionan, considerando los principios, leyes o teorías implicados, generando el correspondiente informe con formato adecuado e incluyendo argumentaciones, conclusiones, tablas de datos, gráficas y referencias bibliográficas.</w:t>
            </w:r>
          </w:p>
          <w:p>
            <w:pPr>
              <w:pStyle w:val="Normal"/>
              <w:widowControl w:val="false"/>
              <w:spacing w:lineRule="auto" w:line="240" w:before="0" w:after="0"/>
              <w:rPr>
                <w:rFonts w:ascii="Cambria" w:hAnsi="Cambria"/>
              </w:rPr>
            </w:pPr>
            <w:r>
              <w:rPr>
                <w:sz w:val="22"/>
                <w:szCs w:val="22"/>
              </w:rPr>
              <w:t>5.3. Valorar la Física, debatiendo de forma fundamentada sobre sus avances y la implicación en la sociedad desde el punto de vista de la ética y de la sostenibilidad.</w:t>
            </w:r>
          </w:p>
          <w:p>
            <w:pPr>
              <w:pStyle w:val="Normal"/>
              <w:widowControl w:val="false"/>
              <w:spacing w:lineRule="auto" w:line="240" w:before="0" w:after="0"/>
              <w:rPr>
                <w:rFonts w:ascii="Calibri" w:hAnsi="Calibri"/>
                <w:sz w:val="22"/>
                <w:szCs w:val="22"/>
              </w:rPr>
            </w:pPr>
            <w:r>
              <w:rPr>
                <w:sz w:val="22"/>
                <w:szCs w:val="22"/>
              </w:rPr>
            </w:r>
          </w:p>
          <w:p>
            <w:pPr>
              <w:pStyle w:val="Normal"/>
              <w:widowControl w:val="false"/>
              <w:spacing w:lineRule="auto" w:line="240" w:before="0" w:after="0"/>
              <w:rPr>
                <w:rFonts w:ascii="Cambria" w:hAnsi="Cambria"/>
              </w:rPr>
            </w:pPr>
            <w:r>
              <w:rPr>
                <w:sz w:val="22"/>
                <w:szCs w:val="22"/>
              </w:rPr>
              <w:t>6.1. Identificar los principales avances científicos relacionados con la Física que han contribuido a las leyes y teorías aceptadas actualmente en el conjunto de las disciplinas científicas, como las fases para el entendimiento de las metodologías de la ciencia, su evolución constante y su universalidad.</w:t>
            </w:r>
          </w:p>
          <w:p>
            <w:pPr>
              <w:pStyle w:val="Normal"/>
              <w:widowControl w:val="false"/>
              <w:spacing w:lineRule="auto" w:line="240" w:before="0" w:after="0"/>
              <w:rPr>
                <w:rFonts w:ascii="Cambria" w:hAnsi="Cambria"/>
              </w:rPr>
            </w:pPr>
            <w:r>
              <w:rPr>
                <w:sz w:val="22"/>
                <w:szCs w:val="22"/>
              </w:rPr>
              <w:t>6.2. Reconocer el carácter multidisciplinar de la ciencia y las contribuciones de unas disciplinas sobre otras, estableciendo relaciones entre la Física y la Química, la Biología o las Matemáticas.</w:t>
            </w:r>
          </w:p>
        </w:tc>
      </w:tr>
    </w:tbl>
    <w:p>
      <w:pPr>
        <w:pStyle w:val="Ttulo1"/>
        <w:jc w:val="both"/>
        <w:rPr>
          <w:rFonts w:ascii="Calibri" w:hAnsi="Calibri"/>
          <w:sz w:val="22"/>
          <w:szCs w:val="22"/>
        </w:rPr>
      </w:pPr>
      <w:r>
        <w:rPr>
          <w:sz w:val="22"/>
          <w:szCs w:val="22"/>
        </w:rPr>
      </w:r>
    </w:p>
    <w:p>
      <w:pPr>
        <w:pStyle w:val="Normal"/>
        <w:jc w:val="both"/>
        <w:rPr>
          <w:rFonts w:ascii="Arial" w:hAnsi="Arial"/>
          <w:b/>
          <w:b/>
          <w:bCs/>
          <w:sz w:val="20"/>
          <w:szCs w:val="20"/>
          <w:u w:val="single"/>
        </w:rPr>
      </w:pPr>
      <w:r>
        <w:rPr>
          <w:b/>
          <w:bCs/>
          <w:sz w:val="22"/>
          <w:szCs w:val="22"/>
          <w:u w:val="single"/>
        </w:rPr>
        <w:t xml:space="preserve">Temporalización: </w:t>
      </w:r>
    </w:p>
    <w:p>
      <w:pPr>
        <w:pStyle w:val="Normal"/>
        <w:jc w:val="both"/>
        <w:rPr>
          <w:rFonts w:ascii="Arial" w:hAnsi="Arial"/>
          <w:strike w:val="false"/>
          <w:dstrike w:val="false"/>
          <w:sz w:val="20"/>
          <w:szCs w:val="20"/>
          <w:u w:val="none"/>
        </w:rPr>
      </w:pPr>
      <w:r>
        <w:rPr>
          <w:strike w:val="false"/>
          <w:dstrike w:val="false"/>
          <w:sz w:val="22"/>
          <w:szCs w:val="22"/>
          <w:u w:val="none"/>
        </w:rPr>
        <w:t>1ªEVA Campo Gravitatorio</w:t>
      </w:r>
    </w:p>
    <w:p>
      <w:pPr>
        <w:pStyle w:val="Normal"/>
        <w:jc w:val="both"/>
        <w:rPr>
          <w:rFonts w:ascii="Arial" w:hAnsi="Arial"/>
          <w:strike w:val="false"/>
          <w:dstrike w:val="false"/>
          <w:sz w:val="20"/>
          <w:szCs w:val="20"/>
          <w:u w:val="none"/>
        </w:rPr>
      </w:pPr>
      <w:r>
        <w:rPr>
          <w:strike w:val="false"/>
          <w:dstrike w:val="false"/>
          <w:sz w:val="22"/>
          <w:szCs w:val="22"/>
          <w:u w:val="none"/>
        </w:rPr>
        <w:t>2ªEVA Ondas</w:t>
      </w:r>
    </w:p>
    <w:p>
      <w:pPr>
        <w:pStyle w:val="Normal"/>
        <w:jc w:val="both"/>
        <w:rPr>
          <w:rFonts w:ascii="Arial" w:hAnsi="Arial"/>
          <w:strike w:val="false"/>
          <w:dstrike w:val="false"/>
          <w:sz w:val="20"/>
          <w:szCs w:val="20"/>
          <w:u w:val="none"/>
        </w:rPr>
      </w:pPr>
      <w:r>
        <w:rPr>
          <w:strike w:val="false"/>
          <w:dstrike w:val="false"/>
          <w:sz w:val="22"/>
          <w:szCs w:val="22"/>
          <w:u w:val="none"/>
        </w:rPr>
        <w:t xml:space="preserve">3ªEVA Campo electroacústico, Óptica y Física Moderna </w:t>
      </w:r>
    </w:p>
    <w:p>
      <w:pPr>
        <w:pStyle w:val="Normal"/>
        <w:jc w:val="both"/>
        <w:rPr>
          <w:rFonts w:ascii="Calibri" w:hAnsi="Calibri"/>
          <w:sz w:val="22"/>
          <w:szCs w:val="22"/>
          <w:u w:val="single"/>
        </w:rPr>
      </w:pPr>
      <w:r>
        <w:rPr>
          <w:sz w:val="22"/>
          <w:szCs w:val="22"/>
          <w:u w:val="single"/>
        </w:rPr>
      </w:r>
    </w:p>
    <w:p>
      <w:pPr>
        <w:pStyle w:val="Normal"/>
        <w:jc w:val="both"/>
        <w:rPr>
          <w:rFonts w:ascii="Cambria" w:hAnsi="Cambria" w:eastAsia="Cambria" w:cs="Cambria"/>
          <w:b/>
          <w:b/>
          <w:u w:val="single"/>
        </w:rPr>
      </w:pPr>
      <w:r>
        <w:rPr>
          <w:rFonts w:eastAsia="Cambria" w:cs="Cambria"/>
          <w:b/>
          <w:sz w:val="22"/>
          <w:szCs w:val="22"/>
          <w:u w:val="single"/>
        </w:rPr>
        <w:t>3. PROCEDIMIENTOS E INSTRUMENTOS DE EVALUACIÓN</w:t>
      </w:r>
    </w:p>
    <w:p>
      <w:pPr>
        <w:pStyle w:val="Estiloparrafos"/>
        <w:spacing w:before="0" w:after="120"/>
        <w:rPr>
          <w:rFonts w:ascii="Calibri" w:hAnsi="Calibri"/>
          <w:sz w:val="22"/>
          <w:szCs w:val="22"/>
        </w:rPr>
      </w:pPr>
      <w:r>
        <w:rPr>
          <w:rFonts w:ascii="Calibri" w:hAnsi="Calibri"/>
          <w:sz w:val="22"/>
          <w:szCs w:val="22"/>
        </w:rPr>
        <w:t>Por medio de los procedimientos evaluaremos, no solo al alumno, sino también la actividad educativa que se desarrolla en el aula, así como todos los elementos que integran el proceso de enseñanza-aprendizaje.</w:t>
      </w:r>
    </w:p>
    <w:p>
      <w:pPr>
        <w:pStyle w:val="Estiloparrafos"/>
        <w:spacing w:before="0" w:after="120"/>
        <w:rPr>
          <w:rFonts w:ascii="Calibri" w:hAnsi="Calibri"/>
          <w:sz w:val="22"/>
          <w:szCs w:val="22"/>
        </w:rPr>
      </w:pPr>
      <w:r>
        <w:rPr>
          <w:rFonts w:ascii="Calibri" w:hAnsi="Calibri"/>
          <w:sz w:val="22"/>
          <w:szCs w:val="22"/>
        </w:rPr>
        <w:t>De esta manera las actividades de evaluación servirán para conocer la adecuación del proceso educativo a las características del alumno (evaluación continua), y ajustar la ayuda pedagógica a sus necesidades reales (evaluación formativa); y conocer, en definitiva, el nivel de desarrollo intelectual y personal alcanzado por el alumno, en todos sus aspectos, y como resultado de la intervención educativa (evaluación integradora).</w:t>
      </w:r>
    </w:p>
    <w:p>
      <w:pPr>
        <w:pStyle w:val="Estiloparrafos"/>
        <w:spacing w:before="0" w:after="120"/>
        <w:rPr>
          <w:rFonts w:ascii="Calibri" w:hAnsi="Calibri"/>
          <w:sz w:val="22"/>
          <w:szCs w:val="22"/>
        </w:rPr>
      </w:pPr>
      <w:r>
        <w:rPr>
          <w:rFonts w:ascii="Calibri" w:hAnsi="Calibri"/>
          <w:sz w:val="22"/>
          <w:szCs w:val="22"/>
        </w:rPr>
        <w:t xml:space="preserve">Los </w:t>
      </w:r>
      <w:r>
        <w:rPr>
          <w:rFonts w:ascii="Calibri" w:hAnsi="Calibri"/>
          <w:b/>
          <w:bCs/>
          <w:sz w:val="22"/>
          <w:szCs w:val="22"/>
        </w:rPr>
        <w:t>instrumentos de evaluación</w:t>
      </w:r>
      <w:r>
        <w:rPr>
          <w:rFonts w:ascii="Calibri" w:hAnsi="Calibri"/>
          <w:sz w:val="22"/>
          <w:szCs w:val="22"/>
        </w:rPr>
        <w:t xml:space="preserve"> que utilizaremos son los siguientes: </w:t>
      </w:r>
    </w:p>
    <w:p>
      <w:pPr>
        <w:pStyle w:val="Estiloparrafos"/>
        <w:numPr>
          <w:ilvl w:val="0"/>
          <w:numId w:val="3"/>
        </w:numPr>
        <w:spacing w:before="0" w:after="120"/>
        <w:ind w:left="567" w:hanging="360"/>
        <w:rPr>
          <w:rFonts w:ascii="Calibri" w:hAnsi="Calibri"/>
          <w:sz w:val="22"/>
          <w:szCs w:val="22"/>
        </w:rPr>
      </w:pPr>
      <w:r>
        <w:rPr>
          <w:rFonts w:ascii="Calibri" w:hAnsi="Calibri"/>
          <w:sz w:val="22"/>
          <w:szCs w:val="22"/>
        </w:rPr>
        <w:t>Observación sistemática del trabajo diario (atención, participación, colaboración y respeto a los demás y a los materiales).</w:t>
      </w:r>
    </w:p>
    <w:p>
      <w:pPr>
        <w:pStyle w:val="Estiloparrafos"/>
        <w:numPr>
          <w:ilvl w:val="0"/>
          <w:numId w:val="3"/>
        </w:numPr>
        <w:spacing w:before="0" w:after="120"/>
        <w:ind w:left="567" w:hanging="360"/>
        <w:rPr>
          <w:rFonts w:ascii="Calibri" w:hAnsi="Calibri"/>
          <w:sz w:val="22"/>
          <w:szCs w:val="22"/>
        </w:rPr>
      </w:pPr>
      <w:r>
        <w:rPr>
          <w:rFonts w:ascii="Calibri" w:hAnsi="Calibri"/>
          <w:sz w:val="22"/>
          <w:szCs w:val="22"/>
        </w:rPr>
        <w:t xml:space="preserve">Realización de un cuestionarios web o de trabajos. </w:t>
      </w:r>
    </w:p>
    <w:p>
      <w:pPr>
        <w:pStyle w:val="Estiloparrafos"/>
        <w:numPr>
          <w:ilvl w:val="0"/>
          <w:numId w:val="3"/>
        </w:numPr>
        <w:spacing w:before="0" w:after="120"/>
        <w:ind w:left="567" w:hanging="360"/>
        <w:rPr>
          <w:rFonts w:ascii="Calibri" w:hAnsi="Calibri"/>
          <w:sz w:val="22"/>
          <w:szCs w:val="22"/>
        </w:rPr>
      </w:pPr>
      <w:r>
        <w:rPr>
          <w:rFonts w:ascii="Calibri" w:hAnsi="Calibri"/>
          <w:sz w:val="22"/>
          <w:szCs w:val="22"/>
        </w:rPr>
        <w:t>Informes de prácticas de laboratorio si las hubiera.</w:t>
      </w:r>
    </w:p>
    <w:p>
      <w:pPr>
        <w:pStyle w:val="Estiloparrafos"/>
        <w:numPr>
          <w:ilvl w:val="0"/>
          <w:numId w:val="3"/>
        </w:numPr>
        <w:spacing w:before="0" w:after="120"/>
        <w:ind w:left="567" w:hanging="360"/>
        <w:rPr>
          <w:rFonts w:ascii="Calibri" w:hAnsi="Calibri"/>
          <w:sz w:val="22"/>
          <w:szCs w:val="22"/>
          <w:u w:val="single"/>
        </w:rPr>
      </w:pPr>
      <w:r>
        <w:rPr>
          <w:rFonts w:ascii="Calibri" w:hAnsi="Calibri"/>
          <w:sz w:val="22"/>
          <w:szCs w:val="22"/>
          <w:u w:val="single"/>
        </w:rPr>
        <w:t xml:space="preserve">Exámenes </w:t>
      </w:r>
    </w:p>
    <w:p>
      <w:pPr>
        <w:pStyle w:val="Estiloparrafos"/>
        <w:spacing w:before="0" w:after="120"/>
        <w:ind w:left="567" w:hanging="0"/>
        <w:rPr>
          <w:rFonts w:ascii="Calibri" w:hAnsi="Calibri"/>
          <w:sz w:val="22"/>
          <w:szCs w:val="22"/>
        </w:rPr>
      </w:pPr>
      <w:r>
        <w:rPr>
          <w:rFonts w:ascii="Calibri" w:hAnsi="Calibri"/>
          <w:sz w:val="22"/>
          <w:szCs w:val="22"/>
        </w:rPr>
        <w:t xml:space="preserve">Las pruebas podrán contener problemas, cuestiones de respuesta concreta, de verdadero-falso, de relacionar conceptos y de interpretación de datos. Se podrá incluir algún texto científico con preguntas sobre lo que han leído. </w:t>
      </w:r>
    </w:p>
    <w:p>
      <w:pPr>
        <w:pStyle w:val="Estiloparrafos"/>
        <w:spacing w:before="0" w:after="120"/>
        <w:ind w:left="567" w:hanging="0"/>
        <w:rPr>
          <w:rFonts w:ascii="Calibri" w:hAnsi="Calibri"/>
          <w:sz w:val="22"/>
          <w:szCs w:val="22"/>
        </w:rPr>
      </w:pPr>
      <w:r>
        <w:rPr>
          <w:rFonts w:ascii="Calibri" w:hAnsi="Calibri"/>
          <w:sz w:val="22"/>
          <w:szCs w:val="22"/>
        </w:rPr>
        <w:t xml:space="preserve">Está previsto realizar dos pruebas escritas por evaluación. </w:t>
      </w:r>
    </w:p>
    <w:p>
      <w:pPr>
        <w:pStyle w:val="Estiloparrafos"/>
        <w:spacing w:before="0" w:after="120"/>
        <w:ind w:left="567" w:hanging="0"/>
        <w:rPr>
          <w:rFonts w:ascii="Calibri" w:hAnsi="Calibri" w:eastAsia="Cambria" w:cs="Cambria"/>
          <w:bCs/>
          <w:color w:val="000000"/>
          <w:sz w:val="22"/>
          <w:szCs w:val="22"/>
        </w:rPr>
      </w:pPr>
      <w:r>
        <w:rPr>
          <w:rFonts w:eastAsia="Cambria" w:cs="Cambria" w:ascii="Calibri" w:hAnsi="Calibri"/>
          <w:bCs/>
          <w:color w:val="000000"/>
          <w:sz w:val="22"/>
          <w:szCs w:val="22"/>
        </w:rPr>
      </w:r>
    </w:p>
    <w:p>
      <w:pPr>
        <w:pStyle w:val="Normal"/>
        <w:jc w:val="both"/>
        <w:rPr>
          <w:rFonts w:ascii="Cambria" w:hAnsi="Cambria" w:eastAsia="Cambria" w:cs="Cambria"/>
          <w:b/>
          <w:b/>
          <w:u w:val="single"/>
        </w:rPr>
      </w:pPr>
      <w:r>
        <w:rPr>
          <w:rFonts w:eastAsia="Cambria" w:cs="Cambria"/>
          <w:b/>
          <w:sz w:val="22"/>
          <w:szCs w:val="22"/>
          <w:u w:val="single"/>
        </w:rPr>
        <w:t>4. CRITERIOS DE CALIFICACIÓN</w:t>
      </w:r>
    </w:p>
    <w:p>
      <w:pPr>
        <w:pStyle w:val="Normal"/>
        <w:rPr>
          <w:rFonts w:ascii="Calibri" w:hAnsi="Calibri"/>
          <w:sz w:val="22"/>
          <w:szCs w:val="22"/>
        </w:rPr>
      </w:pPr>
      <w:r>
        <w:rPr>
          <w:color w:val="auto"/>
          <w:sz w:val="22"/>
          <w:szCs w:val="22"/>
        </w:rPr>
        <w:t>Lo primero la materia se divide en cinco bloques, cada uno con el porcentaje de peso que tiene sobre la nota final</w:t>
      </w:r>
    </w:p>
    <w:p>
      <w:pPr>
        <w:pStyle w:val="Normal"/>
        <w:rPr>
          <w:rFonts w:ascii="Calibri" w:hAnsi="Calibri"/>
          <w:sz w:val="22"/>
          <w:szCs w:val="22"/>
        </w:rPr>
      </w:pPr>
      <w:r>
        <w:rPr>
          <w:color w:val="auto"/>
          <w:sz w:val="22"/>
          <w:szCs w:val="22"/>
        </w:rPr>
        <w:t>Campo Gravitatorio 25%, MVAS y Ondas 25%, Campo electromagnético 25%, Óptica 12,5 % y Física Moderna (engloba el resto de temas) 12,5 %.</w:t>
      </w:r>
    </w:p>
    <w:p>
      <w:pPr>
        <w:pStyle w:val="Normal"/>
        <w:rPr>
          <w:rFonts w:ascii="Calibri" w:hAnsi="Calibri"/>
          <w:sz w:val="22"/>
          <w:szCs w:val="22"/>
        </w:rPr>
      </w:pPr>
      <w:r>
        <w:rPr>
          <w:color w:val="auto"/>
          <w:sz w:val="22"/>
          <w:szCs w:val="22"/>
        </w:rPr>
        <w:t>1. Teniendo en cuenta los procedimientos e instrumentos de evaluación indicados en la programación, se indican a continuación los criterios de calificación que se van a utilizar para este curso para obtener la calificación final de cada evaluación:</w:t>
      </w:r>
    </w:p>
    <w:p>
      <w:pPr>
        <w:pStyle w:val="Normal"/>
        <w:rPr/>
      </w:pPr>
      <w:r>
        <w:rPr>
          <w:color w:val="auto"/>
          <w:sz w:val="22"/>
          <w:szCs w:val="22"/>
        </w:rPr>
        <w:t xml:space="preserve">a) El 95% de la nota será la nota del examen de cada bloque. Las competencias evaluadas en esta parte se adjuntan en el cuadro. </w:t>
      </w:r>
    </w:p>
    <w:p>
      <w:pPr>
        <w:pStyle w:val="Normal"/>
        <w:rPr/>
      </w:pPr>
      <w:r>
        <w:rPr>
          <w:color w:val="auto"/>
          <w:sz w:val="22"/>
          <w:szCs w:val="22"/>
        </w:rPr>
        <w:t xml:space="preserve">b) El profesor supervisará el trabajo diario, a partir de las tareas que se encarguen al alumno (incluyendo tanto los ejercicios propuestos en clase, como las tareas para casa o las prácticas de  laboratorio). La valoración de este apartado supondrá un 5 % de la nota final. El porcentaje de cada una de las partes, variará en función del número de prácticas que se hayan podido realizar. Las competencias evaluadas en esta parte se adjuntan en el cuadro. </w:t>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9</w:t>
      </w:r>
      <w:r>
        <w:rPr>
          <w:rFonts w:ascii="Calibri;sans-serif" w:hAnsi="Calibri;sans-serif"/>
          <w:b w:val="false"/>
          <w:i w:val="false"/>
          <w:caps w:val="false"/>
          <w:smallCaps w:val="false"/>
          <w:strike w:val="false"/>
          <w:dstrike w:val="false"/>
          <w:color w:val="auto"/>
          <w:sz w:val="22"/>
          <w:u w:val="none"/>
          <w:effect w:val="none"/>
        </w:rPr>
        <w:t>5</w:t>
      </w:r>
      <w:r>
        <w:rPr>
          <w:rFonts w:ascii="Calibri;sans-serif" w:hAnsi="Calibri;sans-serif"/>
          <w:b w:val="false"/>
          <w:i w:val="false"/>
          <w:caps w:val="false"/>
          <w:smallCaps w:val="false"/>
          <w:strike w:val="false"/>
          <w:dstrike w:val="false"/>
          <w:color w:val="auto"/>
          <w:sz w:val="22"/>
          <w:u w:val="none"/>
          <w:effect w:val="none"/>
        </w:rPr>
        <w:t>% se reparta entre las competencias específicas 1, 2 y 3.1,  3.2  y 3.3 como se indica en este cuadro</w:t>
      </w:r>
    </w:p>
    <w:p>
      <w:pPr>
        <w:pStyle w:val="Cuerpodetexto"/>
        <w:rPr/>
      </w:pPr>
      <w:r>
        <w:rPr/>
      </w:r>
    </w:p>
    <w:p>
      <w:pPr>
        <w:pStyle w:val="Cuerpodetexto"/>
        <w:bidi w:val="0"/>
        <w:spacing w:lineRule="auto" w:line="288" w:before="0" w:after="0"/>
        <w:rPr/>
      </w:pPr>
      <w:r>
        <w:rPr>
          <w:caps w:val="false"/>
          <w:smallCaps w:val="false"/>
          <w:strike w:val="false"/>
          <w:dstrike w:val="false"/>
          <w:color w:val="EE0000"/>
          <w:u w:val="none"/>
          <w:effect w:val="none"/>
        </w:rPr>
        <w:t> </w:t>
      </w:r>
      <w:r>
        <w:rPr>
          <w:rFonts w:ascii="Calibri;sans-serif" w:hAnsi="Calibri;sans-serif"/>
          <w:b w:val="false"/>
          <w:i w:val="false"/>
          <w:caps w:val="false"/>
          <w:smallCaps w:val="false"/>
          <w:strike w:val="false"/>
          <w:dstrike w:val="false"/>
          <w:color w:val="auto"/>
          <w:sz w:val="22"/>
          <w:u w:val="none"/>
          <w:effect w:val="none"/>
        </w:rPr>
        <w:t xml:space="preserve">Las actividades que suponen el 10% estarán diseñadas para cumplir el reparto entre las competencias 3.3, 4, 5 y 6 como se indica en este cuadro. </w:t>
      </w:r>
      <w:r>
        <w:rPr>
          <w:rFonts w:ascii="Calibri;sans-serif" w:hAnsi="Calibri;sans-serif"/>
          <w:b w:val="false"/>
          <w:i w:val="false"/>
          <w:caps w:val="false"/>
          <w:smallCaps w:val="false"/>
          <w:strike w:val="false"/>
          <w:dstrike w:val="false"/>
          <w:color w:val="EE0000"/>
          <w:sz w:val="22"/>
          <w:u w:val="none"/>
          <w:effect w:val="none"/>
        </w:rPr>
        <w:t>. </w:t>
      </w:r>
    </w:p>
    <w:p>
      <w:pPr>
        <w:pStyle w:val="Normal"/>
        <w:rPr/>
      </w:pPr>
      <w:r>
        <w:rPr>
          <w:color w:val="auto"/>
          <w:sz w:val="22"/>
          <w:szCs w:val="22"/>
        </w:rPr>
        <w:t xml:space="preserve"> </w:t>
      </w:r>
    </w:p>
    <w:tbl>
      <w:tblPr>
        <w:tblW w:w="8475" w:type="dxa"/>
        <w:jc w:val="left"/>
        <w:tblInd w:w="24" w:type="dxa"/>
        <w:tblCellMar>
          <w:top w:w="100" w:type="dxa"/>
          <w:left w:w="100" w:type="dxa"/>
          <w:bottom w:w="100" w:type="dxa"/>
          <w:right w:w="100" w:type="dxa"/>
        </w:tblCellMar>
      </w:tblPr>
      <w:tblGrid>
        <w:gridCol w:w="1934"/>
        <w:gridCol w:w="750"/>
        <w:gridCol w:w="2475"/>
        <w:gridCol w:w="3315"/>
      </w:tblGrid>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36%</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32%</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29%</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3.2 y3.3.  27%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34"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50"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1 %</w:t>
            </w:r>
          </w:p>
        </w:tc>
        <w:tc>
          <w:tcPr>
            <w:tcW w:w="247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5"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Normal"/>
        <w:rPr>
          <w:rFonts w:ascii="Arial" w:hAnsi="Arial"/>
          <w:color w:val="auto"/>
        </w:rPr>
      </w:pPr>
      <w:r>
        <w:rPr>
          <w:color w:val="auto"/>
          <w:sz w:val="22"/>
          <w:szCs w:val="22"/>
        </w:rPr>
        <w:t>2. Para tener la materia superada hay que tener todos los bloques superados.</w:t>
      </w:r>
    </w:p>
    <w:p>
      <w:pPr>
        <w:pStyle w:val="Normal"/>
        <w:rPr>
          <w:rFonts w:ascii="Arial" w:hAnsi="Arial"/>
          <w:color w:val="auto"/>
        </w:rPr>
      </w:pPr>
      <w:r>
        <w:rPr>
          <w:color w:val="auto"/>
          <w:sz w:val="22"/>
          <w:szCs w:val="22"/>
        </w:rPr>
        <w:t>Aquellos alumnos que no alcancen la calificación de 5 en un bloque, tendrán la posibilidad de recuperarlo por medio de una prueba escrita. .</w:t>
      </w:r>
    </w:p>
    <w:p>
      <w:pPr>
        <w:pStyle w:val="Normal"/>
        <w:rPr>
          <w:rFonts w:ascii="Calibri" w:hAnsi="Calibri"/>
          <w:sz w:val="22"/>
          <w:szCs w:val="22"/>
        </w:rPr>
      </w:pPr>
      <w:r>
        <w:rPr>
          <w:color w:val="auto"/>
          <w:sz w:val="22"/>
          <w:szCs w:val="22"/>
        </w:rPr>
        <w:t>Además, aquellos alumnos con el bloque aprobada, también deben realizar</w:t>
      </w:r>
    </w:p>
    <w:p>
      <w:pPr>
        <w:pStyle w:val="Normal"/>
        <w:rPr>
          <w:rFonts w:ascii="Arial" w:hAnsi="Arial"/>
          <w:color w:val="auto"/>
        </w:rPr>
      </w:pPr>
      <w:r>
        <w:rPr>
          <w:color w:val="auto"/>
          <w:sz w:val="22"/>
          <w:szCs w:val="22"/>
        </w:rPr>
        <w:t>dicha recuperación.</w:t>
      </w:r>
    </w:p>
    <w:p>
      <w:pPr>
        <w:pStyle w:val="Normal"/>
        <w:numPr>
          <w:ilvl w:val="0"/>
          <w:numId w:val="2"/>
        </w:numPr>
        <w:rPr>
          <w:rFonts w:ascii="Arial" w:hAnsi="Arial"/>
          <w:color w:val="auto"/>
        </w:rPr>
      </w:pPr>
      <w:r>
        <w:rPr>
          <w:color w:val="auto"/>
          <w:sz w:val="22"/>
          <w:szCs w:val="22"/>
        </w:rPr>
        <w:t xml:space="preserve"> </w:t>
      </w:r>
      <w:r>
        <w:rPr>
          <w:color w:val="auto"/>
          <w:sz w:val="22"/>
          <w:szCs w:val="22"/>
        </w:rPr>
        <w:t>Si su nota es superior a la obtenida se les sube la nota</w:t>
      </w:r>
    </w:p>
    <w:p>
      <w:pPr>
        <w:pStyle w:val="Normal"/>
        <w:numPr>
          <w:ilvl w:val="0"/>
          <w:numId w:val="2"/>
        </w:numPr>
        <w:rPr>
          <w:rFonts w:ascii="Arial" w:hAnsi="Arial"/>
          <w:color w:val="auto"/>
        </w:rPr>
      </w:pPr>
      <w:r>
        <w:rPr>
          <w:color w:val="auto"/>
          <w:sz w:val="22"/>
          <w:szCs w:val="22"/>
        </w:rPr>
        <w:t xml:space="preserve"> </w:t>
      </w:r>
      <w:r>
        <w:rPr>
          <w:color w:val="auto"/>
          <w:sz w:val="22"/>
          <w:szCs w:val="22"/>
        </w:rPr>
        <w:t>Si su nota es inferior en menos de 2 puntos se les deja la nota que tenían</w:t>
      </w:r>
    </w:p>
    <w:p>
      <w:pPr>
        <w:pStyle w:val="Normal"/>
        <w:numPr>
          <w:ilvl w:val="0"/>
          <w:numId w:val="2"/>
        </w:numPr>
        <w:rPr>
          <w:rFonts w:ascii="Arial" w:hAnsi="Arial"/>
          <w:color w:val="auto"/>
        </w:rPr>
      </w:pPr>
      <w:r>
        <w:rPr>
          <w:color w:val="auto"/>
          <w:sz w:val="22"/>
          <w:szCs w:val="22"/>
        </w:rPr>
        <w:t xml:space="preserve"> </w:t>
      </w:r>
      <w:r>
        <w:rPr>
          <w:color w:val="auto"/>
          <w:sz w:val="22"/>
          <w:szCs w:val="22"/>
        </w:rPr>
        <w:t>Si su nota es inferior a dos puntos se les baja la nota realizando la media entre las dos calificaciones (siempre y cuando esa media de más de cinco sino se pondría un cinco)</w:t>
      </w:r>
    </w:p>
    <w:p>
      <w:pPr>
        <w:pStyle w:val="Normal"/>
        <w:ind w:hanging="0"/>
        <w:rPr>
          <w:rFonts w:ascii="Arial" w:hAnsi="Arial"/>
          <w:color w:val="auto"/>
          <w:sz w:val="20"/>
          <w:szCs w:val="20"/>
        </w:rPr>
      </w:pPr>
      <w:r>
        <w:rPr>
          <w:color w:val="auto"/>
          <w:sz w:val="22"/>
          <w:szCs w:val="22"/>
        </w:rPr>
        <w:t xml:space="preserve">Para la nota de cada evaluación se hace una media ponderada con la nota de los bloques siempre que se tengan aptos. Si se tiene algún bloque suspenso la nota máxima sera un 4 </w:t>
      </w:r>
    </w:p>
    <w:p>
      <w:pPr>
        <w:pStyle w:val="Normal"/>
        <w:rPr>
          <w:rFonts w:ascii="Arial" w:hAnsi="Arial"/>
          <w:color w:val="auto"/>
        </w:rPr>
      </w:pPr>
      <w:r>
        <w:rPr>
          <w:color w:val="auto"/>
          <w:sz w:val="22"/>
          <w:szCs w:val="22"/>
        </w:rPr>
        <w:t>3. Para obtener la nota final de la materia en la evaluación ordinaria siempre que se tengan todos los bloques aptos, se calificara cada bloque de la materia de la siguiente forma:</w:t>
      </w:r>
    </w:p>
    <w:p>
      <w:pPr>
        <w:pStyle w:val="Normal"/>
        <w:rPr>
          <w:rFonts w:ascii="Calibri" w:hAnsi="Calibri"/>
          <w:sz w:val="22"/>
          <w:szCs w:val="22"/>
        </w:rPr>
      </w:pPr>
      <w:r>
        <w:rPr>
          <w:color w:val="auto"/>
          <w:sz w:val="22"/>
          <w:szCs w:val="22"/>
        </w:rPr>
        <w:t>Campo Gravitatorio 25%, MVAS y Ondas 25%, Campo electromagnético 25%, Óptica 12,5 % y Física Moderna (engloba el resto de temas) 12,5 %.</w:t>
      </w:r>
    </w:p>
    <w:p>
      <w:pPr>
        <w:pStyle w:val="Normal"/>
        <w:rPr>
          <w:rFonts w:ascii="Calibri" w:hAnsi="Calibri"/>
          <w:sz w:val="22"/>
          <w:szCs w:val="22"/>
        </w:rPr>
      </w:pPr>
      <w:r>
        <w:rPr>
          <w:color w:val="auto"/>
          <w:sz w:val="22"/>
          <w:szCs w:val="22"/>
        </w:rPr>
        <w:t>4. En los últimos días de curso, se realizará una recuperación final previa a la evaluación final ordinaria. Los alumnos que tengan algún bloque suspendido y que no puedan obtener una calificación final de aprobado según el punto anterior, podrán examinarse sólo del bloque o bloques que tengan suspendidos.</w:t>
      </w:r>
    </w:p>
    <w:p>
      <w:pPr>
        <w:pStyle w:val="Normal"/>
        <w:rPr>
          <w:rFonts w:ascii="Calibri" w:hAnsi="Calibri"/>
          <w:sz w:val="22"/>
          <w:szCs w:val="22"/>
        </w:rPr>
      </w:pPr>
      <w:r>
        <w:rPr>
          <w:color w:val="auto"/>
          <w:sz w:val="22"/>
          <w:szCs w:val="22"/>
        </w:rPr>
        <w:t xml:space="preserve">5. </w:t>
      </w:r>
      <w:r>
        <w:rPr>
          <w:b/>
          <w:bCs/>
          <w:color w:val="auto"/>
          <w:sz w:val="22"/>
          <w:szCs w:val="22"/>
        </w:rPr>
        <w:t xml:space="preserve">Prueba extraordinaria: </w:t>
      </w:r>
      <w:r>
        <w:rPr>
          <w:color w:val="auto"/>
          <w:sz w:val="22"/>
          <w:szCs w:val="22"/>
        </w:rPr>
        <w:t>Aquellos alumnos que obtengan una calificación menor de 5 en la evaluación final ordinaria, podrán recuperar la materia presentándose a la prueba extraordinaria..</w:t>
      </w:r>
    </w:p>
    <w:p>
      <w:pPr>
        <w:pStyle w:val="Normal"/>
        <w:rPr/>
      </w:pPr>
      <w:r>
        <w:rPr>
          <w:color w:val="auto"/>
          <w:sz w:val="22"/>
          <w:szCs w:val="22"/>
        </w:rPr>
        <w:t>La prueba extraordinaria versará sobre todos los saberes del curso que se hayan desarrollado durante el curso  establecidos en la presente programación según las disposiciones vigentes.</w:t>
      </w:r>
    </w:p>
    <w:p>
      <w:pPr>
        <w:pStyle w:val="Normal"/>
        <w:rPr>
          <w:rFonts w:ascii="Calibri" w:hAnsi="Calibri"/>
          <w:sz w:val="22"/>
          <w:szCs w:val="22"/>
        </w:rPr>
      </w:pPr>
      <w:bookmarkStart w:id="4" w:name="__DdeLink__5003_1565013655"/>
      <w:r>
        <w:rPr>
          <w:color w:val="auto"/>
          <w:sz w:val="22"/>
          <w:szCs w:val="22"/>
        </w:rPr>
        <w:t xml:space="preserve">Esta prueba extraordinaria se considerará superada cuando se haya obtenido una </w:t>
      </w:r>
      <w:r>
        <w:rPr>
          <w:rFonts w:eastAsia="Cambria" w:cs="Cambria"/>
          <w:color w:val="auto"/>
          <w:sz w:val="22"/>
          <w:szCs w:val="22"/>
        </w:rPr>
        <w:t>calificación igual o superior a cinco. La nota final de la materia sera la nota de esta prueba</w:t>
      </w:r>
      <w:bookmarkEnd w:id="4"/>
      <w:r>
        <w:rPr>
          <w:rFonts w:eastAsia="Cambria" w:cs="Cambria"/>
          <w:color w:val="auto"/>
          <w:sz w:val="22"/>
          <w:szCs w:val="22"/>
        </w:rPr>
        <w:t xml:space="preserve"> </w:t>
      </w:r>
    </w:p>
    <w:p>
      <w:pPr>
        <w:pStyle w:val="Normal"/>
        <w:jc w:val="both"/>
        <w:rPr>
          <w:rFonts w:ascii="Cambria" w:hAnsi="Cambria" w:eastAsia="Cambria" w:cs="Cambria"/>
          <w:b/>
          <w:b/>
          <w:u w:val="single"/>
        </w:rPr>
      </w:pPr>
      <w:r>
        <w:rPr>
          <w:rFonts w:eastAsia="Cambria" w:cs="Cambria"/>
          <w:b/>
          <w:sz w:val="22"/>
          <w:szCs w:val="22"/>
          <w:u w:val="single"/>
        </w:rPr>
        <w:t>5. EVALUACIÓN INICIAL</w:t>
      </w:r>
    </w:p>
    <w:p>
      <w:pPr>
        <w:pStyle w:val="Estiloparrafos"/>
        <w:spacing w:before="0" w:after="120"/>
        <w:rPr>
          <w:rFonts w:ascii="Calibri" w:hAnsi="Calibri"/>
          <w:color w:val="232020"/>
          <w:sz w:val="22"/>
          <w:szCs w:val="22"/>
        </w:rPr>
      </w:pPr>
      <w:r>
        <w:rPr>
          <w:rFonts w:ascii="Calibri" w:hAnsi="Calibri"/>
          <w:color w:val="232020"/>
          <w:sz w:val="22"/>
          <w:szCs w:val="22"/>
        </w:rPr>
        <w:t xml:space="preserve">Al comienzo de cada curso, en el marco de la evaluación continua y formativa, y para detectar el grado de conocimiento del que parten los estudiantes en cada materia y realizar la correspondiente planificación, se realizará la evaluación inicial de los alumnos. Para ello se tendrá en cuenta, siempre que sea posible, la información aportada por el profesorado del curso anterior. Además, todos los alumnos realizarán una prueba escrita, diseñada para ser cumplimentada en una sesión lectiva, que incluya los contenidos más importantes del curso anterior que van a tener continuidad en el presente curso. </w:t>
      </w:r>
    </w:p>
    <w:p>
      <w:pPr>
        <w:pStyle w:val="Estiloparrafos"/>
        <w:spacing w:before="0" w:after="120"/>
        <w:rPr/>
      </w:pPr>
      <w:r>
        <w:rPr>
          <w:rFonts w:ascii="Calibri" w:hAnsi="Calibri"/>
          <w:color w:val="232020"/>
          <w:sz w:val="22"/>
          <w:szCs w:val="22"/>
        </w:rPr>
        <w:t xml:space="preserve">Esta prueba nunca se computará a efectos de calificación durante el curso.  El objetivo de la misma consiste en detectar posibles concepciones alternativas o la carencia de conocimientos básicos cuya ampliación y/o desarrollo se va a llevar a cabo en el presente curso escolar. En el caso de que se detecten dichos errores y / o carencias se repasarán dichos contenidos al inicio de cada unidad didáctica antes de profundizar en los mismos. </w:t>
      </w:r>
    </w:p>
    <w:p>
      <w:pPr>
        <w:pStyle w:val="Estiloparrafos"/>
        <w:spacing w:before="0" w:after="120"/>
        <w:rPr>
          <w:rFonts w:ascii="Arial" w:hAnsi="Arial"/>
          <w:color w:val="232020"/>
          <w:sz w:val="20"/>
          <w:szCs w:val="20"/>
        </w:rPr>
      </w:pPr>
      <w:r>
        <w:rPr>
          <w:rFonts w:ascii="Arial" w:hAnsi="Arial"/>
          <w:color w:val="232020"/>
          <w:sz w:val="20"/>
          <w:szCs w:val="20"/>
        </w:rPr>
      </w:r>
    </w:p>
    <w:p>
      <w:pPr>
        <w:pStyle w:val="Estiloparrafos"/>
        <w:spacing w:before="0" w:after="120"/>
        <w:rPr>
          <w:rFonts w:ascii="Arial" w:hAnsi="Arial"/>
          <w:color w:val="232020"/>
          <w:sz w:val="20"/>
          <w:szCs w:val="20"/>
        </w:rPr>
      </w:pPr>
      <w:r>
        <w:rPr>
          <w:rFonts w:ascii="Arial" w:hAnsi="Arial"/>
          <w:color w:val="232020"/>
          <w:sz w:val="20"/>
          <w:szCs w:val="20"/>
        </w:rPr>
      </w:r>
    </w:p>
    <w:p>
      <w:pPr>
        <w:pStyle w:val="Estiloparrafos"/>
        <w:spacing w:before="0" w:after="120"/>
        <w:rPr>
          <w:rFonts w:ascii="Arial" w:hAnsi="Arial"/>
          <w:color w:val="232020"/>
          <w:sz w:val="20"/>
          <w:szCs w:val="20"/>
        </w:rPr>
      </w:pPr>
      <w:r>
        <w:rPr>
          <w:rFonts w:ascii="Arial" w:hAnsi="Arial"/>
          <w:color w:val="232020"/>
          <w:sz w:val="20"/>
          <w:szCs w:val="20"/>
        </w:rPr>
      </w:r>
    </w:p>
    <w:p>
      <w:pPr>
        <w:pStyle w:val="Estiloparrafos"/>
        <w:spacing w:before="0" w:after="120"/>
        <w:rPr>
          <w:rFonts w:ascii="Arial" w:hAnsi="Arial"/>
          <w:color w:val="232020"/>
          <w:sz w:val="20"/>
          <w:szCs w:val="20"/>
        </w:rPr>
      </w:pPr>
      <w:r>
        <w:rPr>
          <w:rFonts w:ascii="Arial" w:hAnsi="Arial"/>
          <w:color w:val="232020"/>
          <w:sz w:val="20"/>
          <w:szCs w:val="20"/>
        </w:rPr>
      </w:r>
    </w:p>
    <w:p>
      <w:pPr>
        <w:pStyle w:val="Normal"/>
        <w:spacing w:before="0" w:after="120"/>
        <w:jc w:val="both"/>
        <w:rPr/>
      </w:pPr>
      <w:r>
        <w:rPr>
          <w:rFonts w:eastAsia="Cambria" w:cs="Cambria"/>
          <w:b/>
          <w:color w:val="232020"/>
          <w:sz w:val="22"/>
          <w:szCs w:val="22"/>
          <w:u w:val="single"/>
        </w:rPr>
        <w:t>6. EVALUACIÓN EXTRAORDINARIA</w:t>
      </w:r>
    </w:p>
    <w:p>
      <w:pPr>
        <w:pStyle w:val="Normal"/>
        <w:rPr/>
      </w:pPr>
      <w:r>
        <w:rPr>
          <w:color w:val="auto"/>
          <w:sz w:val="22"/>
          <w:szCs w:val="22"/>
        </w:rPr>
        <w:t>Aquellos alumnos que obtengan una calificación menor de 5 en la evaluación final ordinaria, podrán recuperar la materia presentándose a la prueba extraordinaria..</w:t>
      </w:r>
    </w:p>
    <w:p>
      <w:pPr>
        <w:pStyle w:val="Normal"/>
        <w:rPr/>
      </w:pPr>
      <w:r>
        <w:rPr>
          <w:color w:val="auto"/>
          <w:sz w:val="22"/>
          <w:szCs w:val="22"/>
        </w:rPr>
        <w:t>La prueba extraordinaria versará sobre todos los saberes del curso que se hayan desarrollado durante el curso  establecidos en la presente programación según las disposiciones vigentes.</w:t>
      </w:r>
    </w:p>
    <w:p>
      <w:pPr>
        <w:pStyle w:val="Normal"/>
        <w:spacing w:before="0" w:after="120"/>
        <w:jc w:val="both"/>
        <w:rPr>
          <w:b w:val="false"/>
          <w:b w:val="false"/>
          <w:bCs w:val="false"/>
          <w:u w:val="none"/>
        </w:rPr>
      </w:pPr>
      <w:bookmarkStart w:id="5" w:name="__DdeLink__5003_15650136551"/>
      <w:r>
        <w:rPr>
          <w:rFonts w:eastAsia="Cambria" w:cs="Cambria"/>
          <w:b w:val="false"/>
          <w:bCs w:val="false"/>
          <w:color w:val="auto"/>
          <w:sz w:val="22"/>
          <w:szCs w:val="22"/>
          <w:u w:val="none"/>
        </w:rPr>
        <w:t>Esta prueba extraordinaria se considerará superada cuando se haya obtenido una calificación igual o superior a cinco. La nota final de la materia sera la nota de esta prueba</w:t>
      </w:r>
      <w:bookmarkEnd w:id="5"/>
      <w:r>
        <w:rPr>
          <w:rFonts w:eastAsia="Cambria" w:cs="Cambria"/>
          <w:b w:val="false"/>
          <w:bCs w:val="false"/>
          <w:color w:val="auto"/>
          <w:sz w:val="22"/>
          <w:szCs w:val="22"/>
          <w:u w:val="none"/>
        </w:rPr>
        <w:t xml:space="preserve"> </w:t>
      </w:r>
    </w:p>
    <w:p>
      <w:pPr>
        <w:pStyle w:val="Estiloparrafos"/>
        <w:rPr>
          <w:rFonts w:ascii="Calibri" w:hAnsi="Calibri" w:eastAsia="Cambria" w:cs="Cambria"/>
          <w:sz w:val="22"/>
          <w:szCs w:val="22"/>
        </w:rPr>
      </w:pPr>
      <w:r>
        <w:rPr>
          <w:rFonts w:eastAsia="Cambria" w:cs="Cambria" w:ascii="Calibri" w:hAnsi="Calibri"/>
          <w:sz w:val="22"/>
          <w:szCs w:val="22"/>
        </w:rPr>
      </w:r>
    </w:p>
    <w:p>
      <w:pPr>
        <w:pStyle w:val="Normal"/>
        <w:jc w:val="both"/>
        <w:rPr/>
      </w:pPr>
      <w:r>
        <w:rPr>
          <w:rFonts w:eastAsia="Cambria" w:cs="Cambria"/>
          <w:b/>
          <w:sz w:val="22"/>
          <w:szCs w:val="22"/>
          <w:u w:val="single"/>
        </w:rPr>
        <w:t xml:space="preserve">7. ACTUACIONES GENERALES DE ATENCIÓN A LAS DIFERENCIAS INDIVIDUALES Y ADAPTACIONES CURRICULARES </w:t>
      </w:r>
    </w:p>
    <w:p>
      <w:pPr>
        <w:pStyle w:val="Normal"/>
        <w:jc w:val="both"/>
        <w:rPr>
          <w:rFonts w:ascii="Cambria" w:hAnsi="Cambria"/>
        </w:rPr>
      </w:pPr>
      <w:r>
        <w:rPr>
          <w:rFonts w:eastAsia="Cambria" w:cs="Cambria"/>
          <w:sz w:val="22"/>
          <w:szCs w:val="22"/>
        </w:rPr>
        <w:t xml:space="preserve">No tenemos ningún alumnos que precise adaptación curricular </w:t>
      </w:r>
    </w:p>
    <w:p>
      <w:pPr>
        <w:pStyle w:val="Normal"/>
        <w:jc w:val="both"/>
        <w:rPr/>
      </w:pPr>
      <w:r>
        <w:rPr>
          <w:rFonts w:eastAsia="Cambria" w:cs="Cambria"/>
          <w:b/>
          <w:sz w:val="22"/>
          <w:szCs w:val="22"/>
          <w:u w:val="single"/>
        </w:rPr>
        <w:t>8. PLAN DE SEGUIMIENTO PARA EL ALUMNADO QUE NO HA PROMOCIONADO</w:t>
      </w:r>
    </w:p>
    <w:p>
      <w:pPr>
        <w:pStyle w:val="Normal"/>
        <w:jc w:val="both"/>
        <w:rPr>
          <w:rFonts w:ascii="Cambria" w:hAnsi="Cambria"/>
        </w:rPr>
      </w:pPr>
      <w:r>
        <w:rPr>
          <w:rFonts w:eastAsia="Cambria" w:cs="Cambria"/>
          <w:sz w:val="22"/>
          <w:szCs w:val="22"/>
        </w:rPr>
        <w:t xml:space="preserve">No hay ningún alumno </w:t>
      </w:r>
    </w:p>
    <w:p>
      <w:pPr>
        <w:pStyle w:val="Normal"/>
        <w:keepNext w:val="true"/>
        <w:jc w:val="both"/>
        <w:rPr/>
      </w:pPr>
      <w:r>
        <w:rPr>
          <w:rFonts w:eastAsia="Cambria" w:cs="Cambria"/>
          <w:b/>
          <w:sz w:val="22"/>
          <w:szCs w:val="22"/>
          <w:u w:val="single"/>
        </w:rPr>
        <w:t>9 PLAN DE REFUERZO PARA MATERIAS O ÁMBITOS NO SUPERADOS</w:t>
      </w:r>
    </w:p>
    <w:p>
      <w:pPr>
        <w:pStyle w:val="Normal"/>
        <w:jc w:val="both"/>
        <w:rPr>
          <w:rFonts w:ascii="Cambria" w:hAnsi="Cambria"/>
        </w:rPr>
      </w:pPr>
      <w:r>
        <w:rPr>
          <w:rFonts w:eastAsia="Cambria" w:cs="Cambria"/>
          <w:sz w:val="22"/>
          <w:szCs w:val="22"/>
        </w:rPr>
        <w:t xml:space="preserve">En los primeros días o últimos del curso anterior  se hace una reunión para evaluar las causas de la no superación de la materia por parte del alumno con los profesores del curso anterior. </w:t>
      </w:r>
    </w:p>
    <w:p>
      <w:pPr>
        <w:pStyle w:val="Normal"/>
        <w:jc w:val="both"/>
        <w:rPr>
          <w:rFonts w:ascii="Cambria" w:hAnsi="Cambria"/>
        </w:rPr>
      </w:pPr>
      <w:r>
        <w:rPr>
          <w:rFonts w:eastAsia="Cambria" w:cs="Cambria"/>
          <w:sz w:val="22"/>
          <w:szCs w:val="22"/>
        </w:rPr>
        <w:t xml:space="preserve">Con los alumnos se tiene una reunión a principio de curso, para comunicarles: </w:t>
      </w:r>
    </w:p>
    <w:p>
      <w:pPr>
        <w:pStyle w:val="Normal"/>
        <w:numPr>
          <w:ilvl w:val="0"/>
          <w:numId w:val="4"/>
        </w:numPr>
        <w:jc w:val="both"/>
        <w:rPr>
          <w:rFonts w:ascii="Cambria" w:hAnsi="Cambria"/>
        </w:rPr>
      </w:pPr>
      <w:r>
        <w:rPr>
          <w:rFonts w:eastAsia="Cambria" w:cs="Cambria"/>
          <w:sz w:val="22"/>
          <w:szCs w:val="22"/>
        </w:rPr>
        <w:t xml:space="preserve">Las pautas para estudiar la materia </w:t>
      </w:r>
    </w:p>
    <w:p>
      <w:pPr>
        <w:pStyle w:val="Normal"/>
        <w:numPr>
          <w:ilvl w:val="0"/>
          <w:numId w:val="4"/>
        </w:numPr>
        <w:jc w:val="both"/>
        <w:rPr>
          <w:rFonts w:ascii="Cambria" w:hAnsi="Cambria"/>
        </w:rPr>
      </w:pPr>
      <w:r>
        <w:rPr>
          <w:rFonts w:eastAsia="Cambria" w:cs="Cambria"/>
          <w:sz w:val="22"/>
          <w:szCs w:val="22"/>
        </w:rPr>
        <w:t>Horario del profesor para poder atenderles</w:t>
      </w:r>
    </w:p>
    <w:p>
      <w:pPr>
        <w:pStyle w:val="Normal"/>
        <w:numPr>
          <w:ilvl w:val="0"/>
          <w:numId w:val="4"/>
        </w:numPr>
        <w:jc w:val="both"/>
        <w:rPr>
          <w:rFonts w:ascii="Cambria" w:hAnsi="Cambria"/>
        </w:rPr>
      </w:pPr>
      <w:r>
        <w:rPr>
          <w:rFonts w:eastAsia="Cambria" w:cs="Cambria"/>
          <w:sz w:val="22"/>
          <w:szCs w:val="22"/>
        </w:rPr>
        <w:t>División de la materia de primero en dos, Química por un lado y Física por otro.</w:t>
      </w:r>
    </w:p>
    <w:p>
      <w:pPr>
        <w:pStyle w:val="Normal"/>
        <w:numPr>
          <w:ilvl w:val="0"/>
          <w:numId w:val="4"/>
        </w:numPr>
        <w:jc w:val="both"/>
        <w:rPr>
          <w:rFonts w:ascii="Cambria" w:hAnsi="Cambria"/>
        </w:rPr>
      </w:pPr>
      <w:bookmarkStart w:id="6" w:name="__DdeLink__1079_1761028890"/>
      <w:r>
        <w:rPr>
          <w:rFonts w:eastAsia="Cambria" w:cs="Cambria"/>
          <w:sz w:val="22"/>
          <w:szCs w:val="22"/>
        </w:rPr>
        <w:t xml:space="preserve">Realización de dos exámenes, uno de Diciembre y otro a principios de marzo. Si estos exámenes no dan la media para superar la materia ( tendrán que tener mas de un 3,5 para poder mediar)   tendrán uno global en Abril, que se superara con una nota de 5 o más. </w:t>
      </w:r>
      <w:bookmarkEnd w:id="6"/>
    </w:p>
    <w:p>
      <w:pPr>
        <w:pStyle w:val="Normal"/>
        <w:jc w:val="both"/>
        <w:rPr/>
      </w:pPr>
      <w:r>
        <w:rPr>
          <w:rFonts w:eastAsia="Cambria" w:cs="Cambria"/>
          <w:b/>
          <w:sz w:val="22"/>
          <w:szCs w:val="22"/>
          <w:u w:val="single"/>
        </w:rPr>
        <w:t>10. ESTRATEGIAS DIDÁCTICAS Y METODOLÓGICAS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Las normas y la convivencia en el aula.</w:t>
      </w:r>
    </w:p>
    <w:p>
      <w:pPr>
        <w:pStyle w:val="Normal"/>
        <w:jc w:val="both"/>
        <w:rPr>
          <w:rFonts w:cs="Arial"/>
          <w:szCs w:val="20"/>
        </w:rPr>
      </w:pPr>
      <w:r>
        <w:rPr>
          <w:rFonts w:cs="Arial"/>
          <w:sz w:val="22"/>
          <w:szCs w:val="22"/>
        </w:rPr>
        <w:t>Para que el trabajo en el aula favorezca el aprendizaje indispensable un ambiente que lo propicie y facilite, se consensuarán en los primeros días unas normas de convivencia. La no imposición y el consenso tienen como objetivo que cada alumno haga suyas esas normas y se sienta partícipe de la vida de la clase y co-responsable del buen funcionamiento de la misma. Se velará durante todo el curso por el mantenimiento de un clima de armonía, respeto, cooperación y convivencia entre todos los miembros del grupo. Un lugar donde los alumnos se encuentren libres y puedan expresarse es un vehículo imprescindible para un buen aprendizaje.</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El aula como comunidad de aprendizaje.</w:t>
      </w:r>
    </w:p>
    <w:p>
      <w:pPr>
        <w:pStyle w:val="Normal"/>
        <w:jc w:val="both"/>
        <w:rPr>
          <w:rFonts w:cs="Arial"/>
          <w:szCs w:val="20"/>
        </w:rPr>
      </w:pPr>
      <w:r>
        <w:rPr>
          <w:rFonts w:cs="Arial"/>
          <w:sz w:val="22"/>
          <w:szCs w:val="22"/>
        </w:rPr>
        <w:t xml:space="preserve">El grupo se enriquece con las aportaciones individuales de cada uno de sus miembros, por lo que todos ellos tendrán cabida en el aula, favoreciendo la interiorización de los aprendizajes mediante su conexión con la experiencia vital cotidiana. Se propiciarán entre los alumnos actitudes como la ayuda, el apoyo, la escucha o la inclusión. Todos aprendemos de todos. </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Protagonismo del alumno en la actividad.</w:t>
      </w:r>
    </w:p>
    <w:p>
      <w:pPr>
        <w:pStyle w:val="Normal"/>
        <w:jc w:val="both"/>
        <w:rPr>
          <w:rFonts w:cs="Arial"/>
          <w:szCs w:val="20"/>
        </w:rPr>
      </w:pPr>
      <w:r>
        <w:rPr>
          <w:rFonts w:cs="Arial"/>
          <w:sz w:val="22"/>
          <w:szCs w:val="22"/>
        </w:rPr>
        <w:t>Se favorecerá la integración activa de cada alumno, su motivación y autoestima, haciendo de la clase un lugar de encuentro en el que se sienta cómodo, relajado e importante, en el que pueda manifestar sus sugerencias e inquietudes en un marco de respeto, colaboración y cordialidad, y en el que se sienta con ganas de aprender. Se consideran fundamentales tanto su trabajo de estudio diario e individual fuera del aula, como su participación en el desarrollo de las sesiones.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Reconocimiento y potenciación de las habilidades del alumno.</w:t>
      </w:r>
    </w:p>
    <w:p>
      <w:pPr>
        <w:pStyle w:val="Normal"/>
        <w:jc w:val="both"/>
        <w:rPr>
          <w:rFonts w:cs="Arial"/>
          <w:szCs w:val="20"/>
        </w:rPr>
      </w:pPr>
      <w:r>
        <w:rPr>
          <w:rFonts w:cs="Arial"/>
          <w:sz w:val="22"/>
          <w:szCs w:val="22"/>
        </w:rPr>
        <w:t>Se hará más énfasis en las capacidades y fortalezas de los alumnos que en sus dificultades, definiendo así las metas en positivo, generando recursos para alcanzarlas, y ganando en seguridad y motivación de logro de las expectativas. Los obstáculos y los conflictos se plantean como oportunidades de crecimiento.</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Partir de los conocimientos previos de los alumnos.</w:t>
      </w:r>
    </w:p>
    <w:p>
      <w:pPr>
        <w:pStyle w:val="Normal"/>
        <w:jc w:val="both"/>
        <w:rPr>
          <w:rFonts w:cs="Arial"/>
          <w:szCs w:val="20"/>
        </w:rPr>
      </w:pPr>
      <w:r>
        <w:rPr>
          <w:rFonts w:cs="Arial"/>
          <w:sz w:val="22"/>
          <w:szCs w:val="22"/>
        </w:rPr>
        <w:t>Al comienzo de cada unidad de trabajo se realizarán cuestiones orales y pruebas de “puesta a punto”, que estarán encaminadas, por un lado, a detectar los conocimientos previos que el alumno posee y, por otro, a activar esos conocimientos. Estas actividades permitirán además adaptar el trabajo sobre las unidades didácticas.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Contextualización de los aprendizajes.</w:t>
      </w:r>
    </w:p>
    <w:p>
      <w:pPr>
        <w:pStyle w:val="Normal"/>
        <w:jc w:val="both"/>
        <w:rPr>
          <w:rFonts w:cs="Arial"/>
          <w:szCs w:val="20"/>
        </w:rPr>
      </w:pPr>
      <w:r>
        <w:rPr>
          <w:rFonts w:cs="Arial"/>
          <w:sz w:val="22"/>
          <w:szCs w:val="22"/>
        </w:rPr>
        <w:t>Al enmarcarse la actividad dentro de un contexto, el alumno entenderá que su realización es necesaria como vía para encontrar respuestas a preguntas o problemas previamente planteados. Se facilitará la capacidad de transferir los aprendizajes a situaciones cercanas a la realidad y, por lo tanto, complejas. Se busca de esta manera una progresiva adquisición de competencias para la vida.</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Interdisciplinariedad.</w:t>
      </w:r>
    </w:p>
    <w:p>
      <w:pPr>
        <w:pStyle w:val="Normal"/>
        <w:jc w:val="both"/>
        <w:rPr>
          <w:rFonts w:cs="Arial"/>
          <w:spacing w:val="-3"/>
        </w:rPr>
      </w:pPr>
      <w:r>
        <w:rPr>
          <w:rFonts w:cs="Arial"/>
          <w:spacing w:val="-3"/>
          <w:sz w:val="22"/>
          <w:szCs w:val="22"/>
        </w:rPr>
        <w:t>Es necesario mostrar los contenidos relacionados, tanto entre los diversos bloques componentes de cada una de las materias, como entre ellas. Es necesario aprender a intervenir en situaciones de la realidad complejas, donde se da una interrelación de diversos fenómenos de forma simultánea y nunca parcelada.</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Ritmos de aprendizaje.</w:t>
      </w:r>
    </w:p>
    <w:p>
      <w:pPr>
        <w:pStyle w:val="Normal"/>
        <w:jc w:val="both"/>
        <w:rPr>
          <w:rFonts w:cs="Arial"/>
          <w:szCs w:val="20"/>
        </w:rPr>
      </w:pPr>
      <w:r>
        <w:rPr>
          <w:rFonts w:cs="Arial"/>
          <w:sz w:val="22"/>
          <w:szCs w:val="22"/>
        </w:rPr>
        <w:t xml:space="preserve">El proceso educativo es en sí mismo un proceso lento, que hay que mimar y cuidar. No existen las mejoras inmediatas. Son necesarias acciones continuadas y sostenidas en el tiempo. La </w:t>
      </w:r>
      <w:r>
        <w:rPr>
          <w:rFonts w:cs="Arial"/>
          <w:b/>
          <w:sz w:val="22"/>
          <w:szCs w:val="22"/>
        </w:rPr>
        <w:t>atención a la diversidad</w:t>
      </w:r>
      <w:r>
        <w:rPr>
          <w:rFonts w:cs="Arial"/>
          <w:sz w:val="22"/>
          <w:szCs w:val="22"/>
        </w:rPr>
        <w:t xml:space="preserve">, a la que dedico otro apartado, se asienta sobre estos principios. Pero el ritmo de la clase nunca deben marcarlos los alumnos que no trabajan, pues estos no adquieren competencias, ni alcanzan contenidos y no logran los objetivos principalmente por su falta de trabajo. Intentaremos motivarles y reengancharlos. Debido a esto el ritmo de la clase la marcaran los alumnos que trabajen en el día a día.  </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Secuenciación progresiva y cíclica de los contenidos.</w:t>
      </w:r>
    </w:p>
    <w:p>
      <w:pPr>
        <w:pStyle w:val="Normal"/>
        <w:jc w:val="both"/>
        <w:rPr>
          <w:rFonts w:cs="Arial"/>
          <w:szCs w:val="20"/>
        </w:rPr>
      </w:pPr>
      <w:r>
        <w:rPr>
          <w:rFonts w:cs="Arial"/>
          <w:sz w:val="22"/>
          <w:szCs w:val="22"/>
        </w:rPr>
        <w:t>En relación al epígrafe anterior, las actividades irán organizadas y secuenciadas en función de los objetivos propuestos, del tema tratado, y de las dificultades y progresos observados en el alumnado. Se retomarán periódicamente ciertos contenidos considerados clave para facilitar su adquisición por parte de todos.</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El papel del profesor.</w:t>
      </w:r>
    </w:p>
    <w:p>
      <w:pPr>
        <w:pStyle w:val="Normal"/>
        <w:jc w:val="both"/>
        <w:rPr>
          <w:rFonts w:cs="Arial"/>
          <w:szCs w:val="20"/>
        </w:rPr>
      </w:pPr>
      <w:r>
        <w:rPr>
          <w:rFonts w:cs="Arial"/>
          <w:sz w:val="22"/>
          <w:szCs w:val="22"/>
        </w:rPr>
        <w:t>Es organizador y animador de las diversas situaciones de aprendizaje, facilitando la adquisición significativa de conocimientos y competencias, y ayudando a crear una atmósfera adecuada de trabajo. Busca la implicación de los alumnos y los guía individualmente y como grupo en su proceso educativo. Genera confianza, potencia el diálogo y la manifestación libre y respetuosa de opiniones, favorece la integración y participación de todos los alumnos, atiende los diversos ritmos y estilos de aprendizaje, estimula, asesora y orienta. Propicia y mantiene el orden, y asegura el cumplimiento de las normas de convivencia del centro y del aula.</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El papel de las familias.</w:t>
      </w:r>
    </w:p>
    <w:p>
      <w:pPr>
        <w:pStyle w:val="Normal"/>
        <w:jc w:val="both"/>
        <w:rPr>
          <w:rFonts w:cs="Arial"/>
          <w:szCs w:val="20"/>
        </w:rPr>
      </w:pPr>
      <w:r>
        <w:rPr>
          <w:rFonts w:cs="Arial"/>
          <w:sz w:val="22"/>
          <w:szCs w:val="22"/>
        </w:rPr>
        <w:t>Familia y escuela, aunque de forma preeminente la primera, son los agentes protagonistas de la educación de los alumnos, de ahí la necesidad de trabajar conjuntamente y en la misma dirección. Se mantendrá por ello una comunicación fluida con las familias y se intentara la participación de los padres en los grupos interactivos mediante un banco de voluntarios organizado por el AMPA</w:t>
      </w:r>
      <w:r>
        <w:rPr>
          <w:rStyle w:val="Ancladenotaalpie"/>
          <w:rFonts w:cs="Arial"/>
          <w:sz w:val="22"/>
          <w:szCs w:val="22"/>
        </w:rPr>
        <w:footnoteReference w:id="2"/>
      </w:r>
      <w:r>
        <w:rPr>
          <w:rFonts w:cs="Arial"/>
          <w:sz w:val="22"/>
          <w:szCs w:val="22"/>
        </w:rPr>
        <w:t xml:space="preserve">. </w:t>
      </w:r>
    </w:p>
    <w:p>
      <w:pPr>
        <w:pStyle w:val="Ttulo3"/>
        <w:keepNext w:val="false"/>
        <w:keepLines w:val="false"/>
        <w:numPr>
          <w:ilvl w:val="0"/>
          <w:numId w:val="0"/>
        </w:numPr>
        <w:spacing w:lineRule="auto" w:line="360" w:before="0" w:after="0"/>
        <w:ind w:left="567" w:hanging="567"/>
        <w:contextualSpacing/>
        <w:mirrorIndents/>
        <w:jc w:val="both"/>
        <w:rPr>
          <w:rFonts w:ascii="Arial" w:hAnsi="Arial"/>
          <w:sz w:val="20"/>
          <w:szCs w:val="20"/>
        </w:rPr>
      </w:pPr>
      <w:r>
        <w:rPr>
          <w:sz w:val="22"/>
          <w:szCs w:val="22"/>
        </w:rPr>
        <w:t>Las nuevas tecnologías.</w:t>
      </w:r>
    </w:p>
    <w:p>
      <w:pPr>
        <w:pStyle w:val="Normal"/>
        <w:jc w:val="both"/>
        <w:rPr>
          <w:rFonts w:cs="Arial"/>
          <w:szCs w:val="20"/>
        </w:rPr>
      </w:pPr>
      <w:r>
        <w:rPr>
          <w:rFonts w:cs="Arial"/>
          <w:sz w:val="22"/>
          <w:szCs w:val="22"/>
        </w:rPr>
        <w:t xml:space="preserve">Es un medio motivador pues estamos ante una generación eminentemente visual y tecnóloga. La utilización de pequeños videos y/o applets, presentaciones, redes sociales, whasapp, plataforma educativa classroom, etc, nos ayudara a hacer el proceso de aprendizaje más ameno y motivador. </w:t>
      </w:r>
    </w:p>
    <w:p>
      <w:pPr>
        <w:pStyle w:val="Ttulo2"/>
        <w:keepNext w:val="false"/>
        <w:keepLines w:val="false"/>
        <w:numPr>
          <w:ilvl w:val="0"/>
          <w:numId w:val="0"/>
        </w:numPr>
        <w:spacing w:lineRule="auto" w:line="360" w:before="0" w:after="0"/>
        <w:ind w:left="432" w:hanging="432"/>
        <w:contextualSpacing/>
        <w:mirrorIndents/>
        <w:jc w:val="both"/>
        <w:rPr>
          <w:rFonts w:ascii="Arial" w:hAnsi="Arial"/>
          <w:sz w:val="20"/>
          <w:szCs w:val="20"/>
        </w:rPr>
      </w:pPr>
      <w:bookmarkStart w:id="7" w:name="_Toc76513200"/>
      <w:r>
        <w:rPr>
          <w:sz w:val="22"/>
          <w:szCs w:val="22"/>
        </w:rPr>
        <w:t>Diversidad de las formas de clase.</w:t>
      </w:r>
      <w:bookmarkEnd w:id="7"/>
    </w:p>
    <w:p>
      <w:pPr>
        <w:pStyle w:val="Normal"/>
        <w:jc w:val="both"/>
        <w:rPr>
          <w:rFonts w:cs="Arial"/>
          <w:szCs w:val="20"/>
        </w:rPr>
      </w:pPr>
      <w:r>
        <w:rPr>
          <w:rFonts w:cs="Arial"/>
          <w:sz w:val="22"/>
          <w:szCs w:val="22"/>
        </w:rPr>
        <w:t>Las actividades programadas, serán variadas.</w:t>
      </w:r>
    </w:p>
    <w:p>
      <w:pPr>
        <w:pStyle w:val="Ttulo3"/>
        <w:keepNext w:val="false"/>
        <w:keepLines w:val="false"/>
        <w:numPr>
          <w:ilvl w:val="0"/>
          <w:numId w:val="0"/>
        </w:numPr>
        <w:spacing w:lineRule="auto" w:line="360" w:before="0" w:after="0"/>
        <w:ind w:left="0" w:hanging="0"/>
        <w:contextualSpacing/>
        <w:mirrorIndents/>
        <w:jc w:val="both"/>
        <w:rPr>
          <w:rFonts w:ascii="Arial" w:hAnsi="Arial"/>
          <w:sz w:val="20"/>
          <w:szCs w:val="20"/>
        </w:rPr>
      </w:pPr>
      <w:r>
        <w:rPr>
          <w:sz w:val="22"/>
          <w:szCs w:val="22"/>
        </w:rPr>
        <w:t>Clase magistra</w:t>
      </w:r>
      <w:r>
        <w:rPr>
          <w:b w:val="false"/>
          <w:sz w:val="22"/>
          <w:szCs w:val="22"/>
        </w:rPr>
        <w:t>l</w:t>
      </w:r>
      <w:r>
        <w:rPr>
          <w:sz w:val="22"/>
          <w:szCs w:val="22"/>
        </w:rPr>
        <w:t xml:space="preserve">, </w:t>
      </w:r>
    </w:p>
    <w:p>
      <w:pPr>
        <w:pStyle w:val="Normal"/>
        <w:jc w:val="both"/>
        <w:rPr>
          <w:rFonts w:cs="Arial"/>
          <w:szCs w:val="20"/>
        </w:rPr>
      </w:pPr>
      <w:r>
        <w:rPr>
          <w:rFonts w:cs="Arial"/>
          <w:sz w:val="22"/>
          <w:szCs w:val="22"/>
        </w:rPr>
        <w:t xml:space="preserve">Teniendo en cuanta que esta comunicación debe ser lo más interactiva posible, y que siempre que se puede se seguirá la secuenciación, Motivar-Repasar-Desarrollar-Asentar las posibilidades de desarrollo de la materia son: </w:t>
      </w:r>
    </w:p>
    <w:p>
      <w:pPr>
        <w:pStyle w:val="ListParagraph"/>
        <w:numPr>
          <w:ilvl w:val="0"/>
          <w:numId w:val="5"/>
        </w:numPr>
        <w:ind w:left="284" w:hanging="284"/>
        <w:jc w:val="both"/>
        <w:rPr>
          <w:rFonts w:cs="Arial"/>
          <w:szCs w:val="20"/>
        </w:rPr>
      </w:pPr>
      <w:r>
        <w:rPr>
          <w:rFonts w:cs="Arial" w:ascii="Calibri" w:hAnsi="Calibri"/>
          <w:sz w:val="22"/>
          <w:szCs w:val="22"/>
        </w:rPr>
        <w:t>Introducción con algún soporte visual.</w:t>
      </w:r>
    </w:p>
    <w:p>
      <w:pPr>
        <w:pStyle w:val="ListParagraph"/>
        <w:numPr>
          <w:ilvl w:val="0"/>
          <w:numId w:val="5"/>
        </w:numPr>
        <w:ind w:left="284" w:hanging="284"/>
        <w:jc w:val="both"/>
        <w:rPr>
          <w:rFonts w:cs="Arial"/>
          <w:szCs w:val="20"/>
        </w:rPr>
      </w:pPr>
      <w:r>
        <w:rPr>
          <w:rFonts w:cs="Arial" w:ascii="Calibri" w:hAnsi="Calibri"/>
          <w:sz w:val="22"/>
          <w:szCs w:val="22"/>
        </w:rPr>
        <w:t>Utilización de prácticas magistrales reales o en video.</w:t>
      </w:r>
    </w:p>
    <w:p>
      <w:pPr>
        <w:pStyle w:val="ListParagraph"/>
        <w:numPr>
          <w:ilvl w:val="0"/>
          <w:numId w:val="5"/>
        </w:numPr>
        <w:ind w:left="284" w:hanging="284"/>
        <w:jc w:val="both"/>
        <w:rPr>
          <w:rFonts w:cs="Arial"/>
          <w:szCs w:val="20"/>
        </w:rPr>
      </w:pPr>
      <w:r>
        <w:rPr>
          <w:rFonts w:cs="Arial" w:ascii="Calibri" w:hAnsi="Calibri"/>
          <w:sz w:val="22"/>
          <w:szCs w:val="22"/>
        </w:rPr>
        <w:t xml:space="preserve">Proponer la resolución de ejercicios. </w:t>
      </w:r>
    </w:p>
    <w:p>
      <w:pPr>
        <w:pStyle w:val="ListParagraph"/>
        <w:numPr>
          <w:ilvl w:val="0"/>
          <w:numId w:val="5"/>
        </w:numPr>
        <w:ind w:left="284" w:hanging="284"/>
        <w:jc w:val="both"/>
        <w:rPr>
          <w:rFonts w:cs="Arial"/>
          <w:szCs w:val="20"/>
        </w:rPr>
      </w:pPr>
      <w:r>
        <w:rPr>
          <w:rFonts w:cs="Arial" w:ascii="Calibri" w:hAnsi="Calibri"/>
          <w:sz w:val="22"/>
          <w:szCs w:val="22"/>
        </w:rPr>
        <w:t xml:space="preserve">Resolución de problemas. Algún problema se soluciona con errores. Con esto queremos dos cosas, que estén atentos en clase y no se limiten solo a copiar y sobre todo, que vean que de los errores se aprende. </w:t>
      </w:r>
    </w:p>
    <w:p>
      <w:pPr>
        <w:pStyle w:val="ListParagraph"/>
        <w:numPr>
          <w:ilvl w:val="0"/>
          <w:numId w:val="5"/>
        </w:numPr>
        <w:ind w:left="284" w:hanging="284"/>
        <w:jc w:val="both"/>
        <w:rPr>
          <w:rFonts w:cs="Arial"/>
          <w:szCs w:val="20"/>
        </w:rPr>
      </w:pPr>
      <w:r>
        <w:rPr>
          <w:rFonts w:cs="Arial" w:ascii="Calibri" w:hAnsi="Calibri"/>
          <w:sz w:val="22"/>
          <w:szCs w:val="22"/>
        </w:rPr>
        <w:t xml:space="preserve">Explicación en la pizarra. </w:t>
      </w:r>
    </w:p>
    <w:p>
      <w:pPr>
        <w:pStyle w:val="ListParagraph"/>
        <w:numPr>
          <w:ilvl w:val="0"/>
          <w:numId w:val="5"/>
        </w:numPr>
        <w:ind w:left="284" w:hanging="284"/>
        <w:jc w:val="both"/>
        <w:rPr>
          <w:rFonts w:cs="Arial"/>
          <w:szCs w:val="20"/>
        </w:rPr>
      </w:pPr>
      <w:r>
        <w:rPr>
          <w:rFonts w:cs="Arial" w:ascii="Calibri" w:hAnsi="Calibri"/>
          <w:sz w:val="22"/>
          <w:szCs w:val="22"/>
        </w:rPr>
        <w:t>Descubrimiento de alguna parte teórica por los alumnos con la guía del profesor, utilizando conocimientos y capacidades que poseen.</w:t>
      </w:r>
    </w:p>
    <w:p>
      <w:pPr>
        <w:pStyle w:val="ListParagraph"/>
        <w:numPr>
          <w:ilvl w:val="0"/>
          <w:numId w:val="5"/>
        </w:numPr>
        <w:ind w:left="284" w:hanging="284"/>
        <w:jc w:val="both"/>
        <w:rPr>
          <w:rFonts w:cs="Arial"/>
          <w:szCs w:val="20"/>
        </w:rPr>
      </w:pPr>
      <w:r>
        <w:rPr>
          <w:rFonts w:cs="Arial" w:ascii="Calibri" w:hAnsi="Calibri"/>
          <w:sz w:val="22"/>
          <w:szCs w:val="22"/>
        </w:rPr>
        <w:t>Multitud de preguntas para ver su nivel de comprensión y de seguimiento.</w:t>
      </w:r>
    </w:p>
    <w:p>
      <w:pPr>
        <w:pStyle w:val="ListParagraph"/>
        <w:numPr>
          <w:ilvl w:val="0"/>
          <w:numId w:val="5"/>
        </w:numPr>
        <w:ind w:left="284" w:hanging="284"/>
        <w:jc w:val="both"/>
        <w:rPr>
          <w:rFonts w:cs="Arial"/>
          <w:szCs w:val="20"/>
        </w:rPr>
      </w:pPr>
      <w:r>
        <w:rPr>
          <w:rFonts w:cs="Arial" w:ascii="Calibri" w:hAnsi="Calibri"/>
          <w:sz w:val="22"/>
          <w:szCs w:val="22"/>
        </w:rPr>
        <w:t>Seguimiento de una presentación con ejercicios y ejemplos integrados.</w:t>
      </w:r>
    </w:p>
    <w:p>
      <w:pPr>
        <w:pStyle w:val="ListParagraph"/>
        <w:numPr>
          <w:ilvl w:val="0"/>
          <w:numId w:val="5"/>
        </w:numPr>
        <w:ind w:left="284" w:hanging="284"/>
        <w:jc w:val="both"/>
        <w:rPr>
          <w:rFonts w:cs="Arial"/>
          <w:szCs w:val="20"/>
        </w:rPr>
      </w:pPr>
      <w:r>
        <w:rPr>
          <w:rFonts w:cs="Arial" w:ascii="Calibri" w:hAnsi="Calibri"/>
          <w:sz w:val="22"/>
          <w:szCs w:val="22"/>
        </w:rPr>
        <w:t xml:space="preserve">Cuestiones o problemas resueltos por los alumnos en clase, con la posibilidad de preguntar todas sus dudas de forma individual.  </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 xml:space="preserve">Clase Invertida. </w:t>
      </w:r>
    </w:p>
    <w:p>
      <w:pPr>
        <w:pStyle w:val="ListParagraph"/>
        <w:ind w:left="0" w:hanging="0"/>
        <w:jc w:val="both"/>
        <w:rPr>
          <w:rFonts w:cs="Arial"/>
          <w:szCs w:val="20"/>
        </w:rPr>
      </w:pPr>
      <w:r>
        <w:rPr>
          <w:rFonts w:cs="Arial" w:ascii="Calibri" w:hAnsi="Calibri"/>
          <w:sz w:val="22"/>
          <w:szCs w:val="22"/>
        </w:rPr>
        <w:t xml:space="preserve">En alguna parte de las unidades didácticas se les manda un texto o textos a leer, simulaciones, videos para trabajar en casa y al día siguiente en clase se empieza resolviendo problemas o cuestiones sobre lo trabajado en casa </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 xml:space="preserve">Grupos interactivos. </w:t>
      </w:r>
    </w:p>
    <w:p>
      <w:pPr>
        <w:pStyle w:val="ListParagraph"/>
        <w:ind w:left="0" w:hanging="0"/>
        <w:jc w:val="both"/>
        <w:rPr>
          <w:rFonts w:cs="Arial"/>
          <w:szCs w:val="20"/>
        </w:rPr>
      </w:pPr>
      <w:r>
        <w:rPr>
          <w:rFonts w:cs="Arial" w:ascii="Calibri" w:hAnsi="Calibri"/>
          <w:sz w:val="22"/>
          <w:szCs w:val="22"/>
        </w:rPr>
        <w:t>Se realizan grupos heterogéneos con un adulto para facilitar el aprendizaje pues un uso correcto de la comunicación facilita la comprensión. Estos grupos está demostrado que son buenos para los alumnos, pues al verse forzados a explicar, interiorizan mejor lo aprendido y los alumnos que van peor al tener una comunicación de los contenidos en un nivel más próximo ven favorecida la comprensión de los contenidos.</w:t>
      </w:r>
    </w:p>
    <w:p>
      <w:pPr>
        <w:pStyle w:val="Ttulo3"/>
        <w:keepNext w:val="false"/>
        <w:keepLines w:val="false"/>
        <w:numPr>
          <w:ilvl w:val="0"/>
          <w:numId w:val="0"/>
        </w:numPr>
        <w:spacing w:lineRule="auto" w:line="360" w:before="0" w:after="0"/>
        <w:ind w:left="1224" w:hanging="504"/>
        <w:contextualSpacing/>
        <w:mirrorIndents/>
        <w:jc w:val="both"/>
        <w:rPr>
          <w:rFonts w:ascii="Arial" w:hAnsi="Arial"/>
          <w:sz w:val="20"/>
          <w:szCs w:val="20"/>
        </w:rPr>
      </w:pPr>
      <w:r>
        <w:rPr>
          <w:sz w:val="22"/>
          <w:szCs w:val="22"/>
        </w:rPr>
        <w:t xml:space="preserve">Laboratorio, </w:t>
      </w:r>
    </w:p>
    <w:p>
      <w:pPr>
        <w:pStyle w:val="ListParagraph"/>
        <w:ind w:left="0" w:hanging="0"/>
        <w:jc w:val="both"/>
        <w:rPr>
          <w:rFonts w:cs="Arial"/>
          <w:color w:val="FF0000"/>
          <w:szCs w:val="20"/>
        </w:rPr>
      </w:pPr>
      <w:r>
        <w:rPr>
          <w:rFonts w:cs="Arial" w:ascii="Calibri" w:hAnsi="Calibri"/>
          <w:sz w:val="22"/>
          <w:szCs w:val="22"/>
        </w:rPr>
        <w:t xml:space="preserve">Uso de experiencias diseñadas para entender mejor lo aprendido, ver la parte experimental de la Fisica , trabajar en pareja y elaborar el guion de prácticas. Esto les sirve para aprender y como agente motivador. La Física es una ciencia experimental y la adquisición de conocimientos debe estar ligada a la práctica en un laboratorio. Se utiliza el laboratorio para afianzar contenidos, si llevamos pequeñas practicas a clase la utilidad es aclarar ideas o plantear problemas iniciales.  </w:t>
      </w:r>
    </w:p>
    <w:p>
      <w:pPr>
        <w:pStyle w:val="Normal"/>
        <w:jc w:val="both"/>
        <w:rPr>
          <w:rFonts w:ascii="Cambria" w:hAnsi="Cambria" w:eastAsia="Cambria" w:cs="Cambria"/>
          <w:b/>
          <w:b/>
          <w:u w:val="single"/>
        </w:rPr>
      </w:pPr>
      <w:r>
        <w:rPr>
          <w:rFonts w:cs="Arial"/>
          <w:sz w:val="22"/>
          <w:szCs w:val="22"/>
        </w:rPr>
        <w:t>No obstante, se potenciarán principalmente las actividades que se encaminen a un desarrollo autónomo del alumno. Se utilizarán, asimismo, diversos recursos (libros de texto, fotocopias, medios de comunicación, Internet, presentaciones,…)</w:t>
      </w:r>
    </w:p>
    <w:p>
      <w:pPr>
        <w:pStyle w:val="Normal"/>
        <w:jc w:val="both"/>
        <w:rPr/>
      </w:pPr>
      <w:r>
        <w:rPr>
          <w:rFonts w:eastAsia="Cambria" w:cs="Cambria"/>
          <w:b/>
          <w:sz w:val="22"/>
          <w:szCs w:val="22"/>
          <w:u w:val="single"/>
        </w:rPr>
        <w:t xml:space="preserve"> </w:t>
      </w:r>
      <w:r>
        <w:rPr>
          <w:rFonts w:eastAsia="Cambria" w:cs="Cambria"/>
          <w:b/>
          <w:sz w:val="22"/>
          <w:szCs w:val="22"/>
          <w:u w:val="single"/>
        </w:rPr>
        <w:t>11. CONCRECIÓN DEL PLAN DE IMPLEMENTACIÓN DE ELEMENTOS TRANSVERSALES</w:t>
      </w:r>
    </w:p>
    <w:p>
      <w:pPr>
        <w:pStyle w:val="LOnormal"/>
        <w:jc w:val="both"/>
        <w:rPr>
          <w:rFonts w:ascii="Arial" w:hAnsi="Arial"/>
          <w:sz w:val="20"/>
          <w:szCs w:val="20"/>
        </w:rPr>
      </w:pPr>
      <w:r>
        <w:rPr>
          <w:rFonts w:eastAsia="Cambria" w:cs="Cambria"/>
          <w:color w:val="000000"/>
          <w:sz w:val="22"/>
          <w:szCs w:val="22"/>
        </w:rPr>
        <w:t>De acuerdo con la orden ECD/1172/2022, los elementos transversales que deberán trabajarse serán:</w:t>
      </w:r>
    </w:p>
    <w:p>
      <w:pPr>
        <w:pStyle w:val="LOnormal"/>
        <w:jc w:val="both"/>
        <w:rPr>
          <w:rFonts w:ascii="Arial" w:hAnsi="Arial"/>
          <w:sz w:val="20"/>
          <w:szCs w:val="20"/>
        </w:rPr>
      </w:pPr>
      <w:r>
        <w:rPr>
          <w:rFonts w:eastAsia="Cambria" w:cs="Cambria"/>
          <w:color w:val="000000"/>
          <w:sz w:val="22"/>
          <w:szCs w:val="22"/>
        </w:rPr>
        <w:t>La comprensión lectora y expresión oral y escrita se especificará en el punto 10, concreción del plan lector.</w:t>
      </w:r>
    </w:p>
    <w:p>
      <w:pPr>
        <w:pStyle w:val="LOnormal"/>
        <w:jc w:val="both"/>
        <w:rPr>
          <w:rFonts w:ascii="Arial" w:hAnsi="Arial"/>
          <w:sz w:val="20"/>
          <w:szCs w:val="20"/>
        </w:rPr>
      </w:pPr>
      <w:r>
        <w:rPr>
          <w:rFonts w:eastAsia="Cambria" w:cs="Cambria"/>
          <w:color w:val="000000"/>
          <w:sz w:val="22"/>
          <w:szCs w:val="22"/>
        </w:rPr>
        <w:t>La comunicación audiovisual y la competencia digital se especificará en el punto 12, la concreción del plan de utilización de las tecnologías digitales.</w:t>
      </w:r>
    </w:p>
    <w:p>
      <w:pPr>
        <w:pStyle w:val="LOnormal"/>
        <w:jc w:val="both"/>
        <w:rPr>
          <w:rFonts w:ascii="Arial" w:hAnsi="Arial"/>
          <w:sz w:val="20"/>
          <w:szCs w:val="20"/>
        </w:rPr>
      </w:pPr>
      <w:r>
        <w:rPr>
          <w:rFonts w:eastAsia="Cambria" w:cs="Cambria"/>
          <w:color w:val="000000"/>
          <w:sz w:val="22"/>
          <w:szCs w:val="22"/>
        </w:rPr>
        <w:t>El emprendimiento social y empresarial se desarrollará mediante actividades que potencien el aprendizaje significativo del alumnado y haciendo que el alumnado sea el centro del aprendizaje.</w:t>
      </w:r>
    </w:p>
    <w:p>
      <w:pPr>
        <w:pStyle w:val="LOnormal"/>
        <w:jc w:val="both"/>
        <w:rPr>
          <w:rFonts w:ascii="Arial" w:hAnsi="Arial"/>
          <w:sz w:val="20"/>
          <w:szCs w:val="20"/>
        </w:rPr>
      </w:pPr>
      <w:r>
        <w:rPr>
          <w:rFonts w:eastAsia="Cambria" w:cs="Cambria"/>
          <w:color w:val="000000"/>
          <w:sz w:val="22"/>
          <w:szCs w:val="22"/>
        </w:rPr>
        <w:t>El fomento del espíritu crítico y científico y la creatividad se desarrollarán a través de situaciones de aprendizaje en el que el alumnado tiene que dar su propia opinión basada en los conceptos estudiados y el desarrollo de actividades de laboratorio.</w:t>
      </w:r>
    </w:p>
    <w:p>
      <w:pPr>
        <w:pStyle w:val="LOnormal"/>
        <w:jc w:val="both"/>
        <w:rPr>
          <w:rFonts w:ascii="Arial" w:hAnsi="Arial"/>
          <w:sz w:val="20"/>
          <w:szCs w:val="20"/>
        </w:rPr>
      </w:pPr>
      <w:r>
        <w:rPr>
          <w:rFonts w:eastAsia="Cambria" w:cs="Cambria"/>
          <w:color w:val="000000"/>
          <w:sz w:val="22"/>
          <w:szCs w:val="22"/>
        </w:rPr>
        <w:t xml:space="preserve">La educación emocional y en valores, la igualdad de género, el respeto mutuo y la cooperación entre iguales se trabajarán mediante la mediación de los diferentes conflictos que puedan surgir en clase, respetando las diferentes opiniones, al igual que en el trabajo en equipo. </w:t>
      </w:r>
    </w:p>
    <w:p>
      <w:pPr>
        <w:pStyle w:val="LOnormal"/>
        <w:jc w:val="both"/>
        <w:rPr>
          <w:rFonts w:ascii="Arial" w:hAnsi="Arial"/>
          <w:sz w:val="20"/>
          <w:szCs w:val="20"/>
        </w:rPr>
      </w:pPr>
      <w:r>
        <w:rPr>
          <w:rFonts w:eastAsia="Cambria" w:cs="Cambria"/>
          <w:color w:val="000000"/>
          <w:sz w:val="22"/>
          <w:szCs w:val="22"/>
        </w:rPr>
        <w:t>La educación para la salud, la formación estética, la educación para la sostenibilidad y el consumo responsable se emplearán durante las diferentes unidades didácticas ejemplos relacionados con la vida cotidiana del alumnado, basados en estos elementos transversales e incluyendo las ODS.</w:t>
      </w:r>
    </w:p>
    <w:p>
      <w:pPr>
        <w:pStyle w:val="Normal"/>
        <w:jc w:val="both"/>
        <w:rPr/>
      </w:pPr>
      <w:r>
        <w:rPr>
          <w:rFonts w:eastAsia="Cambria" w:cs="Cambria"/>
          <w:b/>
          <w:sz w:val="22"/>
          <w:szCs w:val="22"/>
          <w:u w:val="single"/>
        </w:rPr>
        <w:t>12. CONCRECIÓN DEL PLAN DE UTILIZACIÓN DE LAS TECNOLOGÍAS DIGITALES</w:t>
      </w:r>
      <w:r>
        <w:rPr>
          <w:rFonts w:eastAsia="Cambria" w:cs="Cambria"/>
          <w:sz w:val="22"/>
          <w:szCs w:val="22"/>
        </w:rPr>
        <w:t xml:space="preserve"> </w:t>
      </w:r>
    </w:p>
    <w:p>
      <w:pPr>
        <w:pStyle w:val="Normal"/>
        <w:jc w:val="both"/>
        <w:rPr>
          <w:rFonts w:cs="Arial"/>
          <w:szCs w:val="20"/>
        </w:rPr>
      </w:pPr>
      <w:r>
        <w:rPr>
          <w:rFonts w:cs="Arial"/>
          <w:sz w:val="22"/>
          <w:szCs w:val="22"/>
        </w:rPr>
        <w:t xml:space="preserve">En consonancia con las características del actual contexto socio-cultural y, por consiguiente, con las inquietudes e intereses de los alumnos, es importante integrar las nuevas tecnologías en el aula. </w:t>
      </w:r>
    </w:p>
    <w:p>
      <w:pPr>
        <w:pStyle w:val="Normal"/>
        <w:jc w:val="both"/>
        <w:rPr>
          <w:rFonts w:cs="Arial"/>
          <w:szCs w:val="20"/>
        </w:rPr>
      </w:pPr>
      <w:r>
        <w:rPr>
          <w:rFonts w:cs="Arial"/>
          <w:sz w:val="22"/>
          <w:szCs w:val="22"/>
        </w:rPr>
        <w:t xml:space="preserve">Los alumnos utilizarán el ordenador para la </w:t>
      </w:r>
      <w:r>
        <w:rPr>
          <w:rFonts w:cs="Arial"/>
          <w:b/>
          <w:sz w:val="22"/>
          <w:szCs w:val="22"/>
        </w:rPr>
        <w:t>búsqueda y selección de informaciones</w:t>
      </w:r>
      <w:r>
        <w:rPr>
          <w:rFonts w:cs="Arial"/>
          <w:sz w:val="22"/>
          <w:szCs w:val="22"/>
        </w:rPr>
        <w:t xml:space="preserve"> necesarias para la elaboración y realización de prácticas de laboratorio así como </w:t>
      </w:r>
      <w:r>
        <w:rPr>
          <w:rFonts w:cs="Arial"/>
          <w:b/>
          <w:sz w:val="22"/>
          <w:szCs w:val="22"/>
        </w:rPr>
        <w:t>medio de consulta</w:t>
      </w:r>
      <w:r>
        <w:rPr>
          <w:rFonts w:cs="Arial"/>
          <w:sz w:val="22"/>
          <w:szCs w:val="22"/>
        </w:rPr>
        <w:t>. Esta labor será realizada frecuentemente fuera del horario lectivo, aunque también se podrá realizar dentro de alguna sesión.</w:t>
      </w:r>
    </w:p>
    <w:p>
      <w:pPr>
        <w:pStyle w:val="Normal"/>
        <w:jc w:val="both"/>
        <w:rPr>
          <w:rFonts w:cs="Arial"/>
          <w:szCs w:val="20"/>
        </w:rPr>
      </w:pPr>
      <w:r>
        <w:rPr>
          <w:rFonts w:cs="Arial"/>
          <w:sz w:val="22"/>
          <w:szCs w:val="22"/>
        </w:rPr>
        <w:t xml:space="preserve">El profesor utilizará en el aula el ordenador fijo de aula y el proyector para la </w:t>
      </w:r>
      <w:r>
        <w:rPr>
          <w:rFonts w:cs="Arial"/>
          <w:b/>
          <w:sz w:val="22"/>
          <w:szCs w:val="22"/>
        </w:rPr>
        <w:t>ilustración y/ o ampliación de determinados contenidos</w:t>
      </w:r>
      <w:r>
        <w:rPr>
          <w:rFonts w:cs="Arial"/>
          <w:sz w:val="22"/>
          <w:szCs w:val="22"/>
        </w:rPr>
        <w:t xml:space="preserve"> de la programación. Los alumnos podrán utilizarlo si resulta necesario para la </w:t>
      </w:r>
      <w:r>
        <w:rPr>
          <w:rFonts w:cs="Arial"/>
          <w:b/>
          <w:sz w:val="22"/>
          <w:szCs w:val="22"/>
        </w:rPr>
        <w:t>presentación</w:t>
      </w:r>
      <w:r>
        <w:rPr>
          <w:rFonts w:cs="Arial"/>
          <w:sz w:val="22"/>
          <w:szCs w:val="22"/>
        </w:rPr>
        <w:t xml:space="preserve"> de alguno de sus </w:t>
      </w:r>
      <w:r>
        <w:rPr>
          <w:rFonts w:cs="Arial"/>
          <w:b/>
          <w:sz w:val="22"/>
          <w:szCs w:val="22"/>
        </w:rPr>
        <w:t>trabajos</w:t>
      </w:r>
      <w:r>
        <w:rPr>
          <w:rFonts w:cs="Arial"/>
          <w:sz w:val="22"/>
          <w:szCs w:val="22"/>
        </w:rPr>
        <w:t>, si previamente se ha indicado que pueden o deben ser presentados en ese formato.</w:t>
      </w:r>
    </w:p>
    <w:p>
      <w:pPr>
        <w:pStyle w:val="Normal"/>
        <w:jc w:val="both"/>
        <w:rPr>
          <w:rFonts w:cs="Arial"/>
          <w:szCs w:val="20"/>
        </w:rPr>
      </w:pPr>
      <w:r>
        <w:rPr>
          <w:rFonts w:cs="Arial"/>
          <w:sz w:val="22"/>
          <w:szCs w:val="22"/>
        </w:rPr>
        <w:t xml:space="preserve">Los alumnos tendrán un </w:t>
      </w:r>
      <w:r>
        <w:rPr>
          <w:rFonts w:cs="Arial"/>
          <w:b/>
          <w:sz w:val="22"/>
          <w:szCs w:val="22"/>
        </w:rPr>
        <w:t>grupo de whasapp con la participación del profesor</w:t>
      </w:r>
      <w:r>
        <w:rPr>
          <w:rFonts w:cs="Arial"/>
          <w:sz w:val="22"/>
          <w:szCs w:val="22"/>
        </w:rPr>
        <w:t xml:space="preserve"> para </w:t>
      </w:r>
      <w:r>
        <w:rPr>
          <w:rFonts w:cs="Arial"/>
          <w:b/>
          <w:sz w:val="22"/>
          <w:szCs w:val="22"/>
        </w:rPr>
        <w:t xml:space="preserve">resolver dudas </w:t>
      </w:r>
      <w:r>
        <w:rPr>
          <w:rFonts w:cs="Arial"/>
          <w:sz w:val="22"/>
          <w:szCs w:val="22"/>
        </w:rPr>
        <w:t xml:space="preserve">puntuales, sobre problemas o teoría. Se utilizara como si fuera un </w:t>
      </w:r>
      <w:r>
        <w:rPr>
          <w:rFonts w:cs="Arial"/>
          <w:b/>
          <w:sz w:val="22"/>
          <w:szCs w:val="22"/>
        </w:rPr>
        <w:t>grupo de trabajo</w:t>
      </w:r>
      <w:r>
        <w:rPr>
          <w:rFonts w:cs="Arial"/>
          <w:sz w:val="22"/>
          <w:szCs w:val="22"/>
        </w:rPr>
        <w:t>, donde compartir dudas y resoluciones.</w:t>
      </w:r>
    </w:p>
    <w:p>
      <w:pPr>
        <w:pStyle w:val="Normal"/>
        <w:jc w:val="both"/>
        <w:rPr>
          <w:rFonts w:cs="Arial"/>
          <w:szCs w:val="20"/>
        </w:rPr>
      </w:pPr>
      <w:r>
        <w:rPr>
          <w:rFonts w:cs="Arial"/>
          <w:sz w:val="22"/>
          <w:szCs w:val="22"/>
        </w:rPr>
        <w:t xml:space="preserve">Se colgarán diversos trabajos y aportaciones de los alumnos en las redes sociales del IES. </w:t>
      </w:r>
    </w:p>
    <w:p>
      <w:pPr>
        <w:pStyle w:val="Normal"/>
        <w:jc w:val="both"/>
        <w:rPr/>
      </w:pPr>
      <w:r>
        <w:rPr>
          <w:rFonts w:eastAsia="Cambria" w:cs="Cambria"/>
          <w:b/>
          <w:sz w:val="22"/>
          <w:szCs w:val="22"/>
          <w:u w:val="single"/>
        </w:rPr>
        <w:t>Se utiliza la plataforma Classroom para colgar apuntes, presentaciones, las colecciones de</w:t>
      </w:r>
      <w:r>
        <w:rPr>
          <w:rFonts w:cs="Arial"/>
          <w:sz w:val="22"/>
          <w:szCs w:val="22"/>
        </w:rPr>
        <w:t xml:space="preserve"> ejercicios de EVAU, enlaces a ejercicios de la Olimpiada Química, problemas y cuestiones resueltos, enlaces a paginas web y cualquier material que se pueda compartir con lso alumnos.</w:t>
      </w:r>
    </w:p>
    <w:p>
      <w:pPr>
        <w:pStyle w:val="Normal"/>
        <w:jc w:val="both"/>
        <w:rPr>
          <w:rFonts w:ascii="Calibri" w:hAnsi="Calibri" w:cs="Arial"/>
          <w:sz w:val="22"/>
          <w:szCs w:val="22"/>
        </w:rPr>
      </w:pPr>
      <w:r>
        <w:rPr>
          <w:rFonts w:cs="Arial"/>
          <w:sz w:val="22"/>
          <w:szCs w:val="22"/>
        </w:rPr>
      </w:r>
    </w:p>
    <w:p>
      <w:pPr>
        <w:pStyle w:val="Normal"/>
        <w:jc w:val="both"/>
        <w:rPr>
          <w:rFonts w:cs="Arial"/>
          <w:szCs w:val="20"/>
        </w:rPr>
      </w:pPr>
      <w:r>
        <w:rPr>
          <w:rFonts w:cs="Arial"/>
          <w:sz w:val="22"/>
          <w:szCs w:val="22"/>
        </w:rPr>
        <w:t xml:space="preserve"> </w:t>
      </w:r>
    </w:p>
    <w:p>
      <w:pPr>
        <w:pStyle w:val="Normal"/>
        <w:jc w:val="both"/>
        <w:rPr/>
      </w:pPr>
      <w:r>
        <w:rPr>
          <w:rFonts w:eastAsia="Cambria" w:cs="Cambria"/>
          <w:b/>
          <w:sz w:val="22"/>
          <w:szCs w:val="22"/>
          <w:u w:val="single"/>
        </w:rPr>
        <w:t>13 CONCRECIÓN DEL PLAN LECTOR</w:t>
      </w:r>
    </w:p>
    <w:p>
      <w:pPr>
        <w:pStyle w:val="Normal"/>
        <w:jc w:val="both"/>
        <w:rPr>
          <w:rFonts w:cs="Arial"/>
          <w:szCs w:val="20"/>
        </w:rPr>
      </w:pPr>
      <w:r>
        <w:rPr>
          <w:rFonts w:cs="Arial"/>
          <w:sz w:val="22"/>
          <w:szCs w:val="22"/>
        </w:rPr>
        <w:t xml:space="preserve">Este punto es considerado clave en el centro, como evidencia el </w:t>
      </w:r>
      <w:r>
        <w:rPr>
          <w:rFonts w:cs="Arial"/>
          <w:b/>
          <w:sz w:val="22"/>
          <w:szCs w:val="22"/>
        </w:rPr>
        <w:t xml:space="preserve">Plan de Animación a la Lectura, englobado dentro del Plan de Competencia Ligüistica. </w:t>
      </w:r>
      <w:r>
        <w:rPr>
          <w:rFonts w:cs="Arial"/>
          <w:sz w:val="22"/>
          <w:szCs w:val="22"/>
        </w:rPr>
        <w:t>Al estar en un curso de bachillerato, además terminal y con una prueba tan definitiva como es la EVAU, se valorara realizar la lectura de algún texto científico, y/o científico divulgativo siempre que la temporalización lo permita.</w:t>
      </w:r>
    </w:p>
    <w:p>
      <w:pPr>
        <w:pStyle w:val="Normal"/>
        <w:jc w:val="both"/>
        <w:rPr/>
      </w:pPr>
      <w:r>
        <w:rPr>
          <w:rFonts w:eastAsia="Cambria" w:cs="Cambria"/>
          <w:b/>
          <w:sz w:val="22"/>
          <w:szCs w:val="22"/>
          <w:u w:val="single"/>
        </w:rPr>
        <w:t>14. MECANISMOS DE REVISIÓN, EVALUACIÓN Y MODIFICACIÓN DE LAS PROGRAMACIONES DIDÁCTICAS</w:t>
      </w:r>
    </w:p>
    <w:p>
      <w:pPr>
        <w:pStyle w:val="LOnormal"/>
        <w:jc w:val="both"/>
        <w:rPr>
          <w:rFonts w:ascii="Cambria" w:hAnsi="Cambria" w:eastAsia="Cambria" w:cs="Cambria"/>
          <w:color w:val="000000"/>
        </w:rPr>
      </w:pPr>
      <w:r>
        <w:rPr>
          <w:rFonts w:eastAsia="Cambria" w:cs="Cambria"/>
          <w:color w:val="000000"/>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LOnormal"/>
        <w:jc w:val="both"/>
        <w:rPr>
          <w:rFonts w:ascii="Cambria" w:hAnsi="Cambria" w:eastAsia="Cambria" w:cs="Cambria"/>
          <w:color w:val="000000"/>
        </w:rPr>
      </w:pPr>
      <w:r>
        <w:rPr>
          <w:rFonts w:eastAsia="Cambria" w:cs="Cambria"/>
          <w:color w:val="000000"/>
          <w:sz w:val="22"/>
          <w:szCs w:val="22"/>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LOnormal"/>
        <w:jc w:val="both"/>
        <w:rPr>
          <w:rFonts w:ascii="Cambria" w:hAnsi="Cambria" w:eastAsia="Cambria" w:cs="Cambria"/>
          <w:color w:val="000000"/>
        </w:rPr>
      </w:pPr>
      <w:r>
        <w:rPr>
          <w:rFonts w:eastAsia="Cambria" w:cs="Cambria"/>
          <w:color w:val="000000"/>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LOnormal"/>
        <w:jc w:val="both"/>
        <w:rPr>
          <w:rFonts w:ascii="Cambria" w:hAnsi="Cambria" w:eastAsia="Cambria" w:cs="Cambria"/>
          <w:color w:val="000000"/>
        </w:rPr>
      </w:pPr>
      <w:r>
        <w:rPr>
          <w:rFonts w:eastAsia="Cambria" w:cs="Cambria"/>
          <w:color w:val="000000"/>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LOnormal"/>
        <w:jc w:val="both"/>
        <w:rPr>
          <w:rFonts w:ascii="Cambria" w:hAnsi="Cambria" w:eastAsia="Cambria" w:cs="Cambria"/>
          <w:color w:val="000000"/>
        </w:rPr>
      </w:pPr>
      <w:r>
        <w:rPr>
          <w:rFonts w:eastAsia="Cambria" w:cs="Cambria"/>
          <w:color w:val="000000"/>
          <w:sz w:val="22"/>
          <w:szCs w:val="22"/>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pPr>
      <w:r>
        <w:rPr>
          <w:rFonts w:eastAsia="Cambria" w:cs="Cambria"/>
          <w:b/>
          <w:sz w:val="22"/>
          <w:szCs w:val="22"/>
          <w:u w:val="single"/>
        </w:rPr>
        <w:t>15. ACTIVIDADES COMPLEMENTARIAS Y EXTRAESCOLARES</w:t>
      </w:r>
    </w:p>
    <w:p>
      <w:pPr>
        <w:pStyle w:val="Normal"/>
        <w:jc w:val="both"/>
        <w:rPr>
          <w:u w:val="single"/>
        </w:rPr>
      </w:pPr>
      <w:r>
        <w:rPr>
          <w:rFonts w:eastAsia="Cambria" w:cs="Cambria"/>
          <w:sz w:val="22"/>
          <w:szCs w:val="22"/>
          <w:u w:val="single"/>
        </w:rPr>
        <w:t>Visita al ISQCH</w:t>
      </w:r>
    </w:p>
    <w:p>
      <w:pPr>
        <w:pStyle w:val="Normal"/>
        <w:numPr>
          <w:ilvl w:val="0"/>
          <w:numId w:val="6"/>
        </w:numPr>
        <w:jc w:val="both"/>
        <w:rPr>
          <w:rFonts w:ascii="Arial" w:hAnsi="Arial"/>
          <w:sz w:val="20"/>
          <w:szCs w:val="20"/>
        </w:rPr>
      </w:pPr>
      <w:r>
        <w:rPr>
          <w:rFonts w:eastAsia="Cambria" w:cs="Cambria"/>
          <w:sz w:val="22"/>
          <w:szCs w:val="22"/>
        </w:rPr>
        <w:t xml:space="preserve">En esta visita el catedrático Jesús Pérez hace una presentación del Instituto y de la facultada de ciencias </w:t>
      </w:r>
    </w:p>
    <w:p>
      <w:pPr>
        <w:pStyle w:val="Normal"/>
        <w:numPr>
          <w:ilvl w:val="0"/>
          <w:numId w:val="6"/>
        </w:numPr>
        <w:jc w:val="both"/>
        <w:rPr>
          <w:rFonts w:ascii="Arial" w:hAnsi="Arial"/>
          <w:sz w:val="20"/>
          <w:szCs w:val="20"/>
        </w:rPr>
      </w:pPr>
      <w:r>
        <w:rPr>
          <w:rFonts w:eastAsia="Cambria" w:cs="Cambria"/>
          <w:sz w:val="22"/>
          <w:szCs w:val="22"/>
        </w:rPr>
        <w:t>Una demostración experimental sobre diferentes lineas de investigación del ISQCH</w:t>
      </w:r>
    </w:p>
    <w:p>
      <w:pPr>
        <w:pStyle w:val="Normal"/>
        <w:numPr>
          <w:ilvl w:val="0"/>
          <w:numId w:val="6"/>
        </w:numPr>
        <w:jc w:val="both"/>
        <w:rPr>
          <w:rFonts w:ascii="Arial" w:hAnsi="Arial"/>
          <w:sz w:val="20"/>
          <w:szCs w:val="20"/>
        </w:rPr>
      </w:pPr>
      <w:r>
        <w:rPr>
          <w:rFonts w:eastAsia="Cambria" w:cs="Cambria"/>
          <w:sz w:val="22"/>
          <w:szCs w:val="22"/>
        </w:rPr>
        <w:t>Una visita a los laboratorios de investigación, con visita al RMN y difracto metro de rayos X</w:t>
      </w:r>
    </w:p>
    <w:p>
      <w:pPr>
        <w:pStyle w:val="Normal"/>
        <w:numPr>
          <w:ilvl w:val="0"/>
          <w:numId w:val="6"/>
        </w:numPr>
        <w:jc w:val="both"/>
        <w:rPr>
          <w:rFonts w:ascii="Cambria" w:hAnsi="Cambria" w:eastAsia="Cambria" w:cs="Cambria"/>
        </w:rPr>
      </w:pPr>
      <w:r>
        <w:rPr>
          <w:rFonts w:eastAsia="Cambria" w:cs="Cambria"/>
          <w:sz w:val="22"/>
          <w:szCs w:val="22"/>
        </w:rPr>
        <w:t>Charla con alumnos que están cursando grados de ciencias, ingeniería, FP superior……..</w:t>
      </w:r>
    </w:p>
    <w:p>
      <w:pPr>
        <w:pStyle w:val="Normal"/>
        <w:jc w:val="both"/>
        <w:rPr>
          <w:u w:val="single"/>
        </w:rPr>
      </w:pPr>
      <w:r>
        <w:rPr>
          <w:rFonts w:eastAsia="Cambria" w:cs="Cambria"/>
          <w:sz w:val="22"/>
          <w:szCs w:val="22"/>
          <w:u w:val="single"/>
        </w:rPr>
        <w:t>Visita al Laboratorio Subterráneo de Canfranc</w:t>
      </w:r>
      <w:r>
        <w:rPr>
          <w:rFonts w:eastAsia="Cambria" w:cs="Cambria"/>
          <w:sz w:val="22"/>
          <w:szCs w:val="22"/>
        </w:rPr>
        <w:t xml:space="preserve">: ver en vivo uno de los centros punteros de investigación en Física les puede ayudar para comprender más la materia, así como aspecto motivador </w:t>
      </w:r>
    </w:p>
    <w:p>
      <w:pPr>
        <w:pStyle w:val="Normal"/>
        <w:jc w:val="both"/>
        <w:rPr>
          <w:rFonts w:ascii="Calibri" w:hAnsi="Calibri" w:eastAsia="Cambria" w:cs="Cambria"/>
          <w:sz w:val="22"/>
          <w:szCs w:val="22"/>
        </w:rPr>
      </w:pPr>
      <w:r>
        <w:rPr>
          <w:rFonts w:eastAsia="Cambria" w:cs="Cambria"/>
          <w:sz w:val="22"/>
          <w:szCs w:val="22"/>
        </w:rPr>
      </w:r>
    </w:p>
    <w:p>
      <w:pPr>
        <w:pStyle w:val="Normal"/>
        <w:jc w:val="both"/>
        <w:rPr/>
      </w:pPr>
      <w:r>
        <w:rPr>
          <w:rFonts w:eastAsia="Cambria" w:cs="Cambria"/>
          <w:b/>
          <w:sz w:val="22"/>
          <w:szCs w:val="22"/>
          <w:u w:val="single"/>
        </w:rPr>
        <w:t>16. EN SU CASO, MEDIDAS COMPLEMENTARIAS QUE SE PLANTEAN PARA EL TRATAMIENTO DE LAS MATERIAS DENTRO DEL PROYECTO BILINGÜE</w:t>
      </w:r>
    </w:p>
    <w:p>
      <w:pPr>
        <w:pStyle w:val="Normal"/>
        <w:jc w:val="both"/>
        <w:rPr>
          <w:rFonts w:ascii="Arial" w:hAnsi="Arial"/>
          <w:sz w:val="20"/>
          <w:szCs w:val="20"/>
        </w:rPr>
      </w:pPr>
      <w:r>
        <w:rPr>
          <w:rFonts w:eastAsia="Cambria" w:cs="Cambria"/>
          <w:sz w:val="22"/>
          <w:szCs w:val="22"/>
        </w:rPr>
        <w:t xml:space="preserve">En bachillerato no es asignatura bilingüe </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Normal"/>
        <w:jc w:val="both"/>
        <w:rPr/>
      </w:pPr>
      <w:r>
        <w:rPr>
          <w:rFonts w:eastAsia="Cambria" w:cs="Cambria"/>
          <w:b/>
          <w:sz w:val="22"/>
          <w:szCs w:val="22"/>
          <w:u w:val="single"/>
        </w:rPr>
        <w:t>17. FORMA EN LA QUE SE DAN A CONOCER LOS ASPECTOS RELEVANTES DE ESTA PROGRAMACIÓN AL ALUMNADO Y LAS FAMILIAS</w:t>
      </w:r>
    </w:p>
    <w:p>
      <w:pPr>
        <w:pStyle w:val="Normal"/>
        <w:jc w:val="both"/>
        <w:rPr>
          <w:rFonts w:ascii="Cambria" w:hAnsi="Cambria"/>
        </w:rPr>
      </w:pPr>
      <w:r>
        <w:rPr>
          <w:rFonts w:eastAsia="Cambria" w:cs="Cambria"/>
          <w:sz w:val="22"/>
          <w:szCs w:val="22"/>
        </w:rPr>
        <w:t xml:space="preserve">Los criterios de Calificación, instrumentos de evaluación se dan a conocer el primer  día del curso a los alumnos. </w:t>
      </w:r>
    </w:p>
    <w:p>
      <w:pPr>
        <w:pStyle w:val="Normal"/>
        <w:jc w:val="both"/>
        <w:rPr>
          <w:rFonts w:ascii="Calibri" w:hAnsi="Calibri" w:eastAsia="Cambria" w:cs="Cambria"/>
          <w:sz w:val="22"/>
          <w:szCs w:val="22"/>
        </w:rPr>
      </w:pPr>
      <w:r>
        <w:rPr>
          <w:rFonts w:eastAsia="Cambria" w:cs="Cambria"/>
          <w:sz w:val="22"/>
          <w:szCs w:val="22"/>
        </w:rPr>
      </w:r>
    </w:p>
    <w:p>
      <w:pPr>
        <w:pStyle w:val="Normal"/>
        <w:jc w:val="both"/>
        <w:rPr>
          <w:rFonts w:ascii="Cambria" w:hAnsi="Cambria"/>
        </w:rPr>
      </w:pPr>
      <w:r>
        <w:rPr>
          <w:rFonts w:eastAsia="Cambria" w:cs="Cambria"/>
          <w:sz w:val="22"/>
          <w:szCs w:val="22"/>
        </w:rPr>
        <w:t xml:space="preserve">Ademas se informa de que están colgados de la pagina web del instituto  </w:t>
      </w:r>
    </w:p>
    <w:p>
      <w:pPr>
        <w:pStyle w:val="Normal"/>
        <w:jc w:val="both"/>
        <w:rPr>
          <w:rFonts w:ascii="Arial" w:hAnsi="Arial" w:eastAsia="Cambria" w:cs="Cambria"/>
          <w:b/>
          <w:b/>
          <w:sz w:val="20"/>
          <w:szCs w:val="20"/>
          <w:u w:val="single"/>
        </w:rPr>
      </w:pPr>
      <w:r>
        <w:rPr>
          <w:rFonts w:eastAsia="Cambria" w:cs="Cambria" w:ascii="Arial" w:hAnsi="Arial"/>
          <w:b/>
          <w:sz w:val="20"/>
          <w:szCs w:val="20"/>
          <w:u w:val="single"/>
        </w:rPr>
      </w:r>
    </w:p>
    <w:p>
      <w:pPr>
        <w:pStyle w:val="Normal"/>
        <w:spacing w:before="0" w:after="0"/>
        <w:rPr>
          <w:rFonts w:ascii="Arial" w:hAnsi="Arial" w:eastAsia="Arial" w:cs="Arial"/>
          <w:color w:val="000000"/>
          <w:sz w:val="20"/>
          <w:szCs w:val="20"/>
        </w:rPr>
      </w:pPr>
      <w:r>
        <w:rPr>
          <w:rFonts w:eastAsia="Arial" w:cs="Arial" w:ascii="Arial" w:hAnsi="Arial"/>
          <w:color w:val="000000"/>
          <w:sz w:val="20"/>
          <w:szCs w:val="20"/>
        </w:rPr>
      </w:r>
    </w:p>
    <w:p>
      <w:pPr>
        <w:pStyle w:val="Normal"/>
        <w:spacing w:before="0" w:after="200"/>
        <w:jc w:val="both"/>
        <w:rPr/>
      </w:pPr>
      <w:r>
        <w:rPr/>
      </w:r>
      <w:bookmarkStart w:id="8" w:name="__DdeLink__5117_2332589330"/>
      <w:bookmarkStart w:id="9" w:name="__DdeLink__5117_2332589330"/>
      <w:bookmarkEnd w:id="9"/>
    </w:p>
    <w:sectPr>
      <w:headerReference w:type="default" r:id="rId3"/>
      <w:footerReference w:type="default" r:id="rId4"/>
      <w:footnotePr>
        <w:numFmt w:val="decimal"/>
      </w:footnotePr>
      <w:type w:val="nextPage"/>
      <w:pgSz w:w="11906" w:h="16838"/>
      <w:pgMar w:left="1701" w:right="1701" w:header="708" w:top="1417" w:footer="708" w:bottom="1417"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OpenSymbol">
    <w:altName w:val="Arial Unicode MS"/>
    <w:charset w:val="00"/>
    <w:family w:val="roman"/>
    <w:pitch w:val="variable"/>
  </w:font>
  <w:font w:name="Arial">
    <w:charset w:val="00"/>
    <w:family w:val="roman"/>
    <w:pitch w:val="variable"/>
  </w:font>
  <w:font w:name="Liberation Sans">
    <w:altName w:val="Arial"/>
    <w:charset w:val="00"/>
    <w:family w:val="roman"/>
    <w:pitch w:val="variable"/>
  </w:font>
  <w:font w:name="Cambria">
    <w:charset w:val="00"/>
    <w:family w:val="roman"/>
    <w:pitch w:val="variable"/>
  </w:font>
  <w:font w:name="Georgia">
    <w:charset w:val="00"/>
    <w:family w:val="roman"/>
    <w:pitch w:val="variable"/>
  </w:font>
  <w:font w:name="Verdana">
    <w:charset w:val="00"/>
    <w:family w:val="roman"/>
    <w:pitch w:val="variable"/>
  </w:font>
  <w:font w:name="Calibri">
    <w:altName w:val="sans-serif"/>
    <w:charset w:val="00"/>
    <w:family w:val="roman"/>
    <w:pitch w:val="variable"/>
  </w:font>
  <w:font w:name="Arial Narrow">
    <w:charset w:val="00"/>
    <w:family w:val="roman"/>
    <w:pitch w:val="variable"/>
  </w:font>
  <w:font w:name="Noto Sans Symbols">
    <w:charset w:val="01"/>
    <w:family w:val="auto"/>
    <w:pitch w:val="variable"/>
  </w:font>
  <w:font w:name="Courier New">
    <w:charset w:val="01"/>
    <w:family w:val="modern"/>
    <w:pitch w:val="fixed"/>
  </w:font>
  <w:font w:name="OpenSymbol">
    <w:altName w:val="Arial Unicode MS"/>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120" w:after="0"/>
      <w:ind w:left="142" w:hanging="0"/>
      <w:jc w:val="center"/>
      <w:rPr>
        <w:rFonts w:ascii="Arial Narrow" w:hAnsi="Arial Narrow" w:eastAsia="Arial Narrow" w:cs="Arial Narrow"/>
        <w:b/>
        <w:b/>
        <w:smallCaps/>
        <w:color w:val="366091"/>
        <w:sz w:val="18"/>
        <w:szCs w:val="18"/>
      </w:rPr>
    </w:pPr>
    <w:r>
      <w:rPr>
        <w:rFonts w:eastAsia="Arial Narrow" w:cs="Arial Narrow" w:ascii="Arial Narrow" w:hAnsi="Arial Narrow"/>
        <w:b/>
        <w:smallCaps/>
        <w:color w:val="366091"/>
        <w:sz w:val="18"/>
        <w:szCs w:val="18"/>
      </w:rPr>
      <w:t xml:space="preserve">IES LA PUEBLA DE </w:t>
    </w:r>
    <w:r>
      <w:rPr>
        <w:rFonts w:eastAsia="Arial Narrow" w:cs="Arial Narrow" w:ascii="Arial Narrow" w:hAnsi="Arial Narrow"/>
        <w:b/>
        <w:smallCaps/>
        <w:color w:val="365F91"/>
        <w:sz w:val="18"/>
        <w:szCs w:val="18"/>
      </w:rPr>
      <w:t>ALFINDÉN</w:t>
    </w:r>
  </w:p>
  <w:p>
    <w:pPr>
      <w:pStyle w:val="Normal"/>
      <w:tabs>
        <w:tab w:val="clear" w:pos="720"/>
        <w:tab w:val="center" w:pos="4252" w:leader="none"/>
        <w:tab w:val="right" w:pos="8504" w:leader="none"/>
      </w:tabs>
      <w:spacing w:lineRule="auto" w:line="240" w:before="0" w:after="0"/>
      <w:ind w:left="142" w:hanging="0"/>
      <w:jc w:val="center"/>
      <w:rPr>
        <w:sz w:val="18"/>
        <w:szCs w:val="18"/>
      </w:rPr>
    </w:pPr>
    <w:r>
      <w:rPr>
        <w:sz w:val="18"/>
        <w:szCs w:val="18"/>
      </w:rPr>
      <w:t>Av. de Pastriz, nº 2 – 50171 – La Puebla de Alfindén, Zaragoza | 976 107 602</w:t>
    </w:r>
  </w:p>
  <w:p>
    <w:pPr>
      <w:pStyle w:val="Normal"/>
      <w:tabs>
        <w:tab w:val="clear" w:pos="720"/>
        <w:tab w:val="center" w:pos="4252" w:leader="none"/>
        <w:tab w:val="right" w:pos="8504" w:leader="none"/>
      </w:tabs>
      <w:spacing w:lineRule="auto" w:line="240" w:before="0" w:after="0"/>
      <w:jc w:val="center"/>
      <w:rPr/>
    </w:pPr>
    <w:r>
      <w:rPr>
        <w:sz w:val="18"/>
        <w:szCs w:val="18"/>
      </w:rPr>
      <w:t>ieslapuebla@educa.aragon.es | ieslapuebladealfinden.com</w: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aalpie"/>
        <w:rPr/>
      </w:pPr>
      <w:r>
        <w:rPr>
          <w:rStyle w:val="Caracteresdenotaalpie"/>
        </w:rPr>
        <w:footnoteRef/>
      </w:r>
      <w:r>
        <w:rPr/>
        <w:t xml:space="preserve"> </w:t>
      </w:r>
      <w:r>
        <w:rPr/>
        <w:t>Desde el departamento de Orientación se realiza la formación necesaria para ser voluntario en los grupos interactivos. Ademas de padres también pueden ser voluntarios otros profesores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rPr/>
    </w:pPr>
    <w:r>
      <w:rPr/>
      <w:drawing>
        <wp:anchor behindDoc="1" distT="0" distB="0" distL="0" distR="0" simplePos="0" locked="0" layoutInCell="1" allowOverlap="1" relativeHeight="27">
          <wp:simplePos x="0" y="0"/>
          <wp:positionH relativeFrom="column">
            <wp:posOffset>4195445</wp:posOffset>
          </wp:positionH>
          <wp:positionV relativeFrom="paragraph">
            <wp:posOffset>-279400</wp:posOffset>
          </wp:positionV>
          <wp:extent cx="1617980" cy="721995"/>
          <wp:effectExtent l="0" t="0" r="0" b="0"/>
          <wp:wrapTopAndBottom/>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rcRect l="-13" t="-28" r="-13" b="-28"/>
                  <a:stretch>
                    <a:fillRect/>
                  </a:stretch>
                </pic:blipFill>
                <pic:spPr bwMode="auto">
                  <a:xfrm>
                    <a:off x="0" y="0"/>
                    <a:ext cx="1617980" cy="7219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Noto Sans Symbols" w:hAnsi="Noto Sans Symbols" w:cs="Noto Sans Symbols" w:hint="default"/>
        <w:sz w:val="22"/>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2">
    <w:lvl w:ilvl="0">
      <w:start w:val="1"/>
      <w:numFmt w:val="bullet"/>
      <w:lvlText w:val=""/>
      <w:lvlJc w:val="left"/>
      <w:pPr>
        <w:tabs>
          <w:tab w:val="num" w:pos="720"/>
        </w:tabs>
        <w:ind w:left="720" w:hanging="360"/>
      </w:pPr>
      <w:rPr>
        <w:rFonts w:ascii="Symbol" w:hAnsi="Symbol" w:cs="Symbol" w:hint="default"/>
        <w:sz w:val="22"/>
        <w:rFonts w:cs="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bullet"/>
      <w:lvlText w:val=""/>
      <w:lvlJc w:val="left"/>
      <w:pPr>
        <w:tabs>
          <w:tab w:val="num" w:pos="720"/>
        </w:tabs>
        <w:ind w:left="720" w:hanging="360"/>
      </w:pPr>
      <w:rPr>
        <w:rFonts w:ascii="Symbol" w:hAnsi="Symbol" w:cs="Symbol" w:hint="default"/>
        <w:sz w:val="22"/>
        <w:rFonts w:cs="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bullet"/>
      <w:lvlText w:val=""/>
      <w:lvlJc w:val="left"/>
      <w:pPr>
        <w:ind w:left="-180" w:hanging="360"/>
      </w:pPr>
      <w:rPr>
        <w:rFonts w:ascii="Symbol" w:hAnsi="Symbol" w:cs="Symbol" w:hint="default"/>
        <w:rFonts w:cs="Symbol"/>
      </w:rPr>
    </w:lvl>
    <w:lvl w:ilvl="1">
      <w:start w:val="1"/>
      <w:numFmt w:val="bullet"/>
      <w:lvlText w:val="o"/>
      <w:lvlJc w:val="left"/>
      <w:pPr>
        <w:ind w:left="540" w:hanging="360"/>
      </w:pPr>
      <w:rPr>
        <w:rFonts w:ascii="Courier New" w:hAnsi="Courier New" w:cs="Courier New" w:hint="default"/>
        <w:rFonts w:cs="Courier New"/>
      </w:rPr>
    </w:lvl>
    <w:lvl w:ilvl="2">
      <w:start w:val="1"/>
      <w:numFmt w:val="bullet"/>
      <w:lvlText w:val=""/>
      <w:lvlJc w:val="left"/>
      <w:pPr>
        <w:ind w:left="1260" w:hanging="360"/>
      </w:pPr>
      <w:rPr>
        <w:rFonts w:ascii="Wingdings" w:hAnsi="Wingdings" w:cs="Wingdings" w:hint="default"/>
        <w:rFonts w:cs="Wingdings"/>
      </w:rPr>
    </w:lvl>
    <w:lvl w:ilvl="3">
      <w:start w:val="1"/>
      <w:numFmt w:val="bullet"/>
      <w:lvlText w:val=""/>
      <w:lvlJc w:val="left"/>
      <w:pPr>
        <w:ind w:left="1980" w:hanging="360"/>
      </w:pPr>
      <w:rPr>
        <w:rFonts w:ascii="Symbol" w:hAnsi="Symbol" w:cs="Symbol" w:hint="default"/>
        <w:rFonts w:cs="Symbol"/>
      </w:rPr>
    </w:lvl>
    <w:lvl w:ilvl="4">
      <w:start w:val="1"/>
      <w:numFmt w:val="bullet"/>
      <w:lvlText w:val="o"/>
      <w:lvlJc w:val="left"/>
      <w:pPr>
        <w:ind w:left="2700" w:hanging="360"/>
      </w:pPr>
      <w:rPr>
        <w:rFonts w:ascii="Courier New" w:hAnsi="Courier New" w:cs="Courier New" w:hint="default"/>
        <w:rFonts w:cs="Courier New"/>
      </w:rPr>
    </w:lvl>
    <w:lvl w:ilvl="5">
      <w:start w:val="1"/>
      <w:numFmt w:val="bullet"/>
      <w:lvlText w:val=""/>
      <w:lvlJc w:val="left"/>
      <w:pPr>
        <w:ind w:left="3420" w:hanging="360"/>
      </w:pPr>
      <w:rPr>
        <w:rFonts w:ascii="Wingdings" w:hAnsi="Wingdings" w:cs="Wingdings" w:hint="default"/>
        <w:rFonts w:cs="Wingdings"/>
      </w:rPr>
    </w:lvl>
    <w:lvl w:ilvl="6">
      <w:start w:val="1"/>
      <w:numFmt w:val="bullet"/>
      <w:lvlText w:val=""/>
      <w:lvlJc w:val="left"/>
      <w:pPr>
        <w:ind w:left="4140" w:hanging="360"/>
      </w:pPr>
      <w:rPr>
        <w:rFonts w:ascii="Symbol" w:hAnsi="Symbol" w:cs="Symbol" w:hint="default"/>
        <w:rFonts w:cs="Symbol"/>
      </w:rPr>
    </w:lvl>
    <w:lvl w:ilvl="7">
      <w:start w:val="1"/>
      <w:numFmt w:val="bullet"/>
      <w:lvlText w:val="o"/>
      <w:lvlJc w:val="left"/>
      <w:pPr>
        <w:ind w:left="4860" w:hanging="360"/>
      </w:pPr>
      <w:rPr>
        <w:rFonts w:ascii="Courier New" w:hAnsi="Courier New" w:cs="Courier New" w:hint="default"/>
        <w:rFonts w:cs="Courier New"/>
      </w:rPr>
    </w:lvl>
    <w:lvl w:ilvl="8">
      <w:start w:val="1"/>
      <w:numFmt w:val="bullet"/>
      <w:lvlText w:val=""/>
      <w:lvlJc w:val="left"/>
      <w:pPr>
        <w:ind w:left="5580" w:hanging="360"/>
      </w:pPr>
      <w:rPr>
        <w:rFonts w:ascii="Wingdings" w:hAnsi="Wingdings" w:cs="Wingdings" w:hint="default"/>
        <w:rFonts w:cs="Wingdings"/>
      </w:rPr>
    </w:lvl>
  </w:abstractNum>
  <w:abstractNum w:abstractNumId="6">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false"/>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Cs w:val="22"/>
        <w:lang w:val="es-ES" w:eastAsia="es-E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86824"/>
    <w:pPr>
      <w:widowControl/>
      <w:suppressAutoHyphens w:val="true"/>
      <w:bidi w:val="0"/>
      <w:spacing w:lineRule="auto" w:line="276" w:before="0" w:after="200"/>
      <w:jc w:val="left"/>
    </w:pPr>
    <w:rPr>
      <w:rFonts w:ascii="Calibri" w:hAnsi="Calibri" w:eastAsia="Calibri" w:cs="Calibri"/>
      <w:color w:val="00000A"/>
      <w:kern w:val="0"/>
      <w:sz w:val="22"/>
      <w:szCs w:val="22"/>
      <w:lang w:val="es-ES" w:eastAsia="es-ES" w:bidi="ar-SA"/>
    </w:rPr>
  </w:style>
  <w:style w:type="paragraph" w:styleId="Ttulo1">
    <w:name w:val="Heading 1"/>
    <w:basedOn w:val="Normal"/>
    <w:next w:val="Normal"/>
    <w:qFormat/>
    <w:pPr>
      <w:keepNext w:val="true"/>
      <w:keepLines/>
      <w:spacing w:before="480" w:after="120"/>
      <w:outlineLvl w:val="0"/>
    </w:pPr>
    <w:rPr>
      <w:b/>
      <w:sz w:val="48"/>
      <w:szCs w:val="48"/>
    </w:rPr>
  </w:style>
  <w:style w:type="paragraph" w:styleId="Ttulo2">
    <w:name w:val="Heading 2"/>
    <w:basedOn w:val="Normal"/>
    <w:next w:val="Normal"/>
    <w:qFormat/>
    <w:pPr>
      <w:keepNext w:val="true"/>
      <w:keepLines/>
      <w:spacing w:before="360" w:after="80"/>
      <w:outlineLvl w:val="1"/>
    </w:pPr>
    <w:rPr>
      <w:b/>
      <w:sz w:val="36"/>
      <w:szCs w:val="36"/>
    </w:rPr>
  </w:style>
  <w:style w:type="paragraph" w:styleId="Ttulo3">
    <w:name w:val="Heading 3"/>
    <w:basedOn w:val="Normal"/>
    <w:next w:val="Normal"/>
    <w:qFormat/>
    <w:pPr>
      <w:keepNext w:val="true"/>
      <w:keepLines/>
      <w:spacing w:before="280" w:after="80"/>
      <w:outlineLvl w:val="2"/>
    </w:pPr>
    <w:rPr>
      <w:b/>
      <w:sz w:val="28"/>
      <w:szCs w:val="28"/>
    </w:rPr>
  </w:style>
  <w:style w:type="paragraph" w:styleId="Ttulo4">
    <w:name w:val="Heading 4"/>
    <w:basedOn w:val="Normal"/>
    <w:next w:val="Normal"/>
    <w:qFormat/>
    <w:pPr>
      <w:keepNext w:val="true"/>
      <w:keepLines/>
      <w:spacing w:before="240" w:after="40"/>
      <w:outlineLvl w:val="3"/>
    </w:pPr>
    <w:rPr>
      <w:b/>
      <w:sz w:val="24"/>
      <w:szCs w:val="24"/>
    </w:rPr>
  </w:style>
  <w:style w:type="paragraph" w:styleId="Ttulo5">
    <w:name w:val="Heading 5"/>
    <w:basedOn w:val="Normal"/>
    <w:next w:val="Normal"/>
    <w:qFormat/>
    <w:pPr>
      <w:keepNext w:val="true"/>
      <w:keepLines/>
      <w:spacing w:before="220" w:after="40"/>
      <w:outlineLvl w:val="4"/>
    </w:pPr>
    <w:rPr>
      <w:b/>
    </w:rPr>
  </w:style>
  <w:style w:type="paragraph" w:styleId="Ttulo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87523a"/>
    <w:rPr/>
  </w:style>
  <w:style w:type="character" w:styleId="PiedepginaCar" w:customStyle="1">
    <w:name w:val="Pie de página Car"/>
    <w:basedOn w:val="DefaultParagraphFont"/>
    <w:uiPriority w:val="99"/>
    <w:qFormat/>
    <w:rsid w:val="0087523a"/>
    <w:rPr/>
  </w:style>
  <w:style w:type="character" w:styleId="Pagenumber">
    <w:name w:val="page number"/>
    <w:basedOn w:val="DefaultParagraphFont"/>
    <w:uiPriority w:val="99"/>
    <w:qFormat/>
    <w:rsid w:val="009c33ec"/>
    <w:rPr/>
  </w:style>
  <w:style w:type="character" w:styleId="EnlacedeInternet" w:customStyle="1">
    <w:name w:val="Enlace de Internet"/>
    <w:rPr>
      <w:color w:val="000080"/>
      <w:u w:val="single"/>
    </w:rPr>
  </w:style>
  <w:style w:type="character" w:styleId="FollowedHyperlink" w:customStyle="1">
    <w:name w:val="FollowedHyperlink"/>
    <w:qFormat/>
    <w:rPr>
      <w:color w:val="800000"/>
      <w:u w:val="single"/>
    </w:rPr>
  </w:style>
  <w:style w:type="character" w:styleId="Vietas" w:customStyle="1">
    <w:name w:val="Viñetas"/>
    <w:qFormat/>
    <w:rPr>
      <w:rFonts w:ascii="OpenSymbol" w:hAnsi="OpenSymbol" w:eastAsia="OpenSymbol" w:cs="OpenSymbol"/>
    </w:rPr>
  </w:style>
  <w:style w:type="character" w:styleId="TextonotapieCar" w:customStyle="1">
    <w:name w:val="Texto nota pie Car"/>
    <w:basedOn w:val="DefaultParagraphFont"/>
    <w:uiPriority w:val="99"/>
    <w:qFormat/>
    <w:rsid w:val="00fb100d"/>
    <w:rPr>
      <w:rFonts w:ascii="Arial" w:hAnsi="Arial" w:cs="Times New Roman"/>
      <w:color w:val="auto"/>
      <w:szCs w:val="20"/>
      <w:lang w:eastAsia="en-US"/>
    </w:rPr>
  </w:style>
  <w:style w:type="character" w:styleId="Ancladenotaalpie">
    <w:name w:val="Ancla de nota al pie"/>
    <w:rPr>
      <w:vertAlign w:val="superscript"/>
    </w:rPr>
  </w:style>
  <w:style w:type="character" w:styleId="FootnoteCharacters">
    <w:name w:val="Footnote Characters"/>
    <w:uiPriority w:val="99"/>
    <w:semiHidden/>
    <w:unhideWhenUsed/>
    <w:qFormat/>
    <w:rsid w:val="00fb100d"/>
    <w:rPr>
      <w:vertAlign w:val="superscript"/>
    </w:rPr>
  </w:style>
  <w:style w:type="character" w:styleId="Caracteresdenotaalpie">
    <w:name w:val="Caracteres de nota al pie"/>
    <w:qFormat/>
    <w:rPr/>
  </w:style>
  <w:style w:type="character" w:styleId="Ancladenotafinal">
    <w:name w:val="Ancla de nota final"/>
    <w:rPr>
      <w:vertAlign w:val="superscript"/>
    </w:rPr>
  </w:style>
  <w:style w:type="character" w:styleId="EndnoteCharacters">
    <w:name w:val="Endnote Characters"/>
    <w:qFormat/>
    <w:rPr>
      <w:vertAlign w:val="superscript"/>
    </w:rPr>
  </w:style>
  <w:style w:type="character" w:styleId="Caracteresdenotafinal">
    <w:name w:val="Caracteres de nota final"/>
    <w:qFormat/>
    <w:rPr/>
  </w:style>
  <w:style w:type="paragraph" w:styleId="Ttulo" w:customStyle="1">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Titular">
    <w:name w:val="Title"/>
    <w:basedOn w:val="Normal"/>
    <w:next w:val="Cuerpodetexto"/>
    <w:qFormat/>
    <w:pPr>
      <w:keepNext w:val="true"/>
      <w:spacing w:before="240" w:after="120"/>
    </w:pPr>
    <w:rPr>
      <w:rFonts w:ascii="Liberation Sans" w:hAnsi="Liberation Sans" w:eastAsia="Microsoft YaHei" w:cs="Lucida Sans"/>
      <w:sz w:val="28"/>
      <w:szCs w:val="28"/>
    </w:rPr>
  </w:style>
  <w:style w:type="paragraph" w:styleId="Cabeceraypie" w:customStyle="1">
    <w:name w:val="Cabecera y pie"/>
    <w:basedOn w:val="Normal"/>
    <w:qFormat/>
    <w:pPr/>
    <w:rPr/>
  </w:style>
  <w:style w:type="paragraph" w:styleId="Cabecera">
    <w:name w:val="Header"/>
    <w:basedOn w:val="Normal"/>
    <w:link w:val="EncabezadoCar"/>
    <w:uiPriority w:val="99"/>
    <w:unhideWhenUsed/>
    <w:rsid w:val="0087523a"/>
    <w:pPr>
      <w:tabs>
        <w:tab w:val="clear" w:pos="720"/>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87523a"/>
    <w:pPr>
      <w:tabs>
        <w:tab w:val="clear" w:pos="720"/>
        <w:tab w:val="center" w:pos="4252" w:leader="none"/>
        <w:tab w:val="right" w:pos="8504" w:leader="none"/>
      </w:tabs>
      <w:spacing w:lineRule="auto" w:line="240" w:before="0" w:after="0"/>
    </w:pPr>
    <w:rPr/>
  </w:style>
  <w:style w:type="paragraph" w:styleId="Organization" w:customStyle="1">
    <w:name w:val="Organization"/>
    <w:basedOn w:val="Normal"/>
    <w:uiPriority w:val="5"/>
    <w:qFormat/>
    <w:rsid w:val="009c33ec"/>
    <w:pPr>
      <w:spacing w:lineRule="auto" w:line="240" w:before="20" w:after="40"/>
    </w:pPr>
    <w:rPr>
      <w:rFonts w:ascii="Cambria" w:hAnsi="Cambria" w:eastAsia="" w:cs="" w:asciiTheme="majorHAnsi" w:cstheme="majorBidi" w:eastAsiaTheme="majorEastAsia" w:hAnsiTheme="majorHAnsi"/>
      <w:b/>
      <w:bCs/>
      <w:caps/>
      <w:color w:val="365F91" w:themeColor="accent1" w:themeShade="bf"/>
      <w:lang w:val="en-US" w:eastAsia="ja-JP"/>
    </w:rPr>
  </w:style>
  <w:style w:type="paragraph" w:styleId="Subttulo">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Estiloparrafos" w:customStyle="1">
    <w:name w:val="Estilo_parrafos"/>
    <w:basedOn w:val="Normal"/>
    <w:qFormat/>
    <w:pPr>
      <w:jc w:val="both"/>
    </w:pPr>
    <w:rPr>
      <w:rFonts w:ascii="Verdana" w:hAnsi="Verdana"/>
      <w:sz w:val="20"/>
      <w:szCs w:val="20"/>
    </w:rPr>
  </w:style>
  <w:style w:type="paragraph" w:styleId="NormalWeb">
    <w:name w:val="Normal (Web)"/>
    <w:basedOn w:val="Normal"/>
    <w:qFormat/>
    <w:pPr>
      <w:spacing w:lineRule="auto" w:line="240" w:beforeAutospacing="1" w:afterAutospacing="1"/>
    </w:pPr>
    <w:rPr>
      <w:rFonts w:ascii="Times New Roman" w:hAnsi="Times New Roman" w:eastAsia="Times New Roman" w:cs="Times New Roman"/>
      <w:sz w:val="24"/>
      <w:szCs w:val="24"/>
    </w:rPr>
  </w:style>
  <w:style w:type="paragraph" w:styleId="DC1" w:customStyle="1">
    <w:name w:val="DC1"/>
    <w:basedOn w:val="Lista"/>
    <w:qFormat/>
    <w:pPr>
      <w:tabs>
        <w:tab w:val="clear" w:pos="720"/>
        <w:tab w:val="left" w:pos="227" w:leader="none"/>
      </w:tabs>
      <w:spacing w:lineRule="auto" w:line="240" w:before="0" w:after="0"/>
    </w:pPr>
    <w:rPr>
      <w:sz w:val="18"/>
      <w:szCs w:val="18"/>
    </w:rPr>
  </w:style>
  <w:style w:type="paragraph" w:styleId="Contenidodelatabla" w:customStyle="1">
    <w:name w:val="Contenido de la tabla"/>
    <w:basedOn w:val="Normal"/>
    <w:qFormat/>
    <w:pPr>
      <w:suppressLineNumbers/>
    </w:pPr>
    <w:rPr/>
  </w:style>
  <w:style w:type="paragraph" w:styleId="Ttulodelatabla" w:customStyle="1">
    <w:name w:val="Título de la tabla"/>
    <w:basedOn w:val="Contenidodelatabla"/>
    <w:qFormat/>
    <w:pPr>
      <w:jc w:val="center"/>
    </w:pPr>
    <w:rPr>
      <w:b/>
      <w:bCs/>
    </w:rPr>
  </w:style>
  <w:style w:type="paragraph" w:styleId="ListParagraph">
    <w:name w:val="List Paragraph"/>
    <w:basedOn w:val="Normal"/>
    <w:uiPriority w:val="34"/>
    <w:qFormat/>
    <w:rsid w:val="00fb100d"/>
    <w:pPr>
      <w:spacing w:lineRule="auto" w:line="360" w:before="0" w:after="0"/>
      <w:ind w:left="720" w:hanging="0"/>
      <w:contextualSpacing/>
    </w:pPr>
    <w:rPr>
      <w:rFonts w:ascii="Arial" w:hAnsi="Arial" w:cs="Times New Roman"/>
      <w:color w:val="auto"/>
      <w:sz w:val="20"/>
      <w:lang w:eastAsia="en-US"/>
    </w:rPr>
  </w:style>
  <w:style w:type="paragraph" w:styleId="Notaalpie">
    <w:name w:val="Footnote Text"/>
    <w:basedOn w:val="Normal"/>
    <w:link w:val="TextonotapieCar"/>
    <w:uiPriority w:val="99"/>
    <w:unhideWhenUsed/>
    <w:rsid w:val="00fb100d"/>
    <w:pPr>
      <w:spacing w:lineRule="auto" w:line="240" w:before="0" w:after="0"/>
    </w:pPr>
    <w:rPr>
      <w:rFonts w:ascii="Arial" w:hAnsi="Arial" w:cs="Times New Roman"/>
      <w:color w:val="auto"/>
      <w:sz w:val="20"/>
      <w:szCs w:val="20"/>
      <w:lang w:eastAsia="en-US"/>
    </w:rPr>
  </w:style>
  <w:style w:type="paragraph" w:styleId="LOnormal">
    <w:name w:val="LO-normal"/>
    <w:qFormat/>
    <w:pPr>
      <w:widowControl/>
      <w:suppressAutoHyphens w:val="true"/>
      <w:bidi w:val="0"/>
      <w:spacing w:lineRule="auto" w:line="276" w:before="0" w:after="200"/>
      <w:jc w:val="left"/>
    </w:pPr>
    <w:rPr>
      <w:rFonts w:ascii="Calibri" w:hAnsi="Calibri" w:eastAsia="Calibri" w:cs="Calibri"/>
      <w:color w:val="00000A"/>
      <w:kern w:val="0"/>
      <w:sz w:val="20"/>
      <w:szCs w:val="22"/>
      <w:lang w:val="es-ES" w:eastAsia="es-ES"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Sombreadoclaro-nfasis11">
    <w:name w:val="Sombreado claro - Énfasis 11"/>
    <w:basedOn w:val="Tablanormal"/>
    <w:uiPriority w:val="60"/>
    <w:rsid w:val="0087523a"/>
    <w:rPr>
      <w:color w:val="365F91" w:themeColor="accent1" w:themeShade="bf"/>
    </w:rPr>
    <w:tblPr>
      <w:tblStyleRowBandSize w:val="1"/>
      <w:tblStyleColBandSize w:val="1"/>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educa.aragon.es/documents/20126/2789392/BOE-A-2022-5521.pdf/16c5603a-6211-9f80-1bb7-a435c915f87a?t=1661776006847"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Efqukn5nydvjSr8kdn2b2u3aZLw==">AMUW2mUcjrRn44Aw1gL5cXYhKi0h1eOitUtObbg4TJU3qnLZcfPUuiSgavXWto1C8i7qUKg5UOK5NB3FZlDOi0RCaEjL5UCJberTUSla1osJWqTwwE0a2N87N6+Ffz9ps651iiwsTD/J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8751</TotalTime>
  <Application>LibreOffice/6.3.3.2$Windows_X86_64 LibreOffice_project/a64200df03143b798afd1ec74a12ab50359878ed</Application>
  <Pages>27</Pages>
  <Words>10560</Words>
  <Characters>59626</Characters>
  <CharactersWithSpaces>69873</CharactersWithSpaces>
  <Paragraphs>414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2021-09-07T11:35:00Z</dcterms:created>
  <dc:creator>Esther</dc:creator>
  <dc:description/>
  <dc:language>es-ES</dc:language>
  <cp:lastModifiedBy/>
  <dcterms:modified xsi:type="dcterms:W3CDTF">2025-10-17T09:48:05Z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