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2.jpeg" ContentType="image/jpeg"/>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u w:val="single"/>
        </w:rPr>
      </w:pPr>
      <w:r>
        <w:rPr>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tbl>
      <w:tblPr>
        <w:tblStyle w:val="a0"/>
        <w:tblW w:w="8479" w:type="dxa"/>
        <w:jc w:val="left"/>
        <w:tblInd w:w="0" w:type="dxa"/>
        <w:tblCellMar>
          <w:top w:w="0" w:type="dxa"/>
          <w:left w:w="108" w:type="dxa"/>
          <w:bottom w:w="0" w:type="dxa"/>
          <w:right w:w="108" w:type="dxa"/>
        </w:tblCellMar>
        <w:tblLook w:firstRow="1" w:noVBand="1" w:lastRow="0" w:firstColumn="1" w:lastColumn="0" w:noHBand="0" w:val="04a0"/>
      </w:tblPr>
      <w:tblGrid>
        <w:gridCol w:w="3226"/>
        <w:gridCol w:w="5252"/>
      </w:tblGrid>
      <w:tr>
        <w:trPr>
          <w:trHeight w:val="2470" w:hRule="atLeast"/>
          <w:cnfStyle w:val="100000000000" w:firstRow="1" w:lastRow="0" w:firstColumn="0" w:lastColumn="0" w:oddVBand="0" w:evenVBand="0" w:oddHBand="0" w:evenHBand="0" w:firstRowFirstColumn="0" w:firstRowLastColumn="0" w:lastRowFirstColumn="0" w:lastRowLastColumn="0"/>
        </w:trPr>
        <w:tc>
          <w:tcPr>
            <w:tcW w:w="3226" w:type="dxa"/>
            <w:cnfStyle w:val="001000000000" w:firstRow="0" w:lastRow="0" w:firstColumn="1" w:lastColumn="0" w:oddVBand="0" w:evenVBand="0" w:oddHBand="0" w:evenHBand="0" w:firstRowFirstColumn="0" w:firstRowLastColumn="0" w:lastRowFirstColumn="0" w:lastRowLastColumn="0"/>
            <w:tcBorders>
              <w:top w:val="single" w:sz="8" w:space="0" w:color="4F81BD"/>
              <w:bottom w:val="single" w:sz="8" w:space="0" w:color="4F81BD"/>
            </w:tcBorders>
            <w:shd w:color="auto" w:fill="548DD4" w:val="clear"/>
          </w:tcPr>
          <w:p>
            <w:pPr>
              <w:pStyle w:val="Normal"/>
              <w:jc w:val="center"/>
              <w:rPr>
                <w:color w:val="FFFFFF"/>
                <w:sz w:val="28"/>
                <w:szCs w:val="28"/>
              </w:rPr>
            </w:pPr>
            <w:r>
              <w:rPr>
                <w:color w:val="FFFFFF"/>
                <w:sz w:val="28"/>
                <w:szCs w:val="28"/>
              </w:rPr>
              <w:t xml:space="preserve">IES LA PUEBLA DE  </w:t>
            </w:r>
          </w:p>
          <w:p>
            <w:pPr>
              <w:pStyle w:val="Normal"/>
              <w:spacing w:before="0" w:after="200"/>
              <w:jc w:val="center"/>
              <w:rPr>
                <w:u w:val="single"/>
              </w:rPr>
            </w:pPr>
            <w:r>
              <w:rPr>
                <w:color w:val="FFFFFF"/>
                <w:sz w:val="28"/>
                <w:szCs w:val="28"/>
              </w:rPr>
              <w:t xml:space="preserve">             </w:t>
            </w:r>
            <w:r>
              <w:rPr>
                <w:color w:val="FFFFFF"/>
                <w:sz w:val="28"/>
                <w:szCs w:val="28"/>
              </w:rPr>
              <w:t>ALFINDÉN</w:t>
            </w:r>
          </w:p>
        </w:tc>
        <w:tc>
          <w:tcPr>
            <w:tcW w:w="5252" w:type="dxa"/>
            <w:tcBorders>
              <w:top w:val="single" w:sz="8" w:space="0" w:color="4F81BD"/>
              <w:bottom w:val="single" w:sz="8" w:space="0" w:color="4F81BD"/>
            </w:tcBorders>
            <w:shd w:color="auto" w:fill="auto" w:val="clear"/>
          </w:tcPr>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sz w:val="28"/>
                <w:szCs w:val="28"/>
              </w:rPr>
            </w:pPr>
            <w:r>
              <w:rPr>
                <w:b w:val="false"/>
                <w:color w:val="1F497D"/>
                <w:sz w:val="28"/>
                <w:szCs w:val="28"/>
              </w:rPr>
              <w:t>PROGRAMACIÓN DIDÁCTICA DE (NOMBRE DE MATERIA)</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sz w:val="28"/>
                <w:szCs w:val="28"/>
              </w:rPr>
            </w:pPr>
            <w:r>
              <w:rPr>
                <w:color w:val="1F497D"/>
                <w:sz w:val="28"/>
                <w:szCs w:val="28"/>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rPr>
            </w:pPr>
            <w:r>
              <w:rPr>
                <w:b w:val="false"/>
                <w:color w:val="1F497D"/>
              </w:rPr>
              <w:t>BACHILLERATO</w:t>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color w:val="1F497D"/>
              </w:rPr>
            </w:pPr>
            <w:r>
              <w:rPr>
                <w:color w:val="1F497D"/>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bookmarkStart w:id="0" w:name="_heading=h.gjdgxs"/>
            <w:bookmarkEnd w:id="0"/>
            <w:r>
              <w:rPr>
                <w:b w:val="false"/>
                <w:color w:val="1F497D"/>
              </w:rPr>
              <w:t>CURSO 2025-2026</w:t>
            </w:r>
            <w:bookmarkStart w:id="1" w:name="_GoBack"/>
            <w:bookmarkEnd w:id="1"/>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tabs>
                <w:tab w:val="clear" w:pos="720"/>
                <w:tab w:val="center" w:pos="4252" w:leader="none"/>
                <w:tab w:val="right" w:pos="8504" w:leader="none"/>
              </w:tabs>
              <w:cnfStyle w:val="100000000000" w:firstRow="1" w:lastRow="0" w:firstColumn="0" w:lastColumn="0" w:oddVBand="0" w:evenVBand="0" w:oddHBand="0" w:evenHBand="0" w:firstRowFirstColumn="0" w:firstRowLastColumn="0" w:lastRowFirstColumn="0" w:lastRowLastColumn="0"/>
              <w:rPr/>
            </w:pPr>
            <w:r>
              <w:rPr/>
            </w:r>
          </w:p>
          <w:p>
            <w:pPr>
              <w:pStyle w:val="Normal"/>
              <w:spacing w:before="0" w:after="200"/>
              <w:cnfStyle w:val="100000000000" w:firstRow="1" w:lastRow="0" w:firstColumn="0" w:lastColumn="0" w:oddVBand="0" w:evenVBand="0" w:oddHBand="0" w:evenHBand="0" w:firstRowFirstColumn="0" w:firstRowLastColumn="0" w:lastRowFirstColumn="0" w:lastRowLastColumn="0"/>
              <w:rPr>
                <w:u w:val="single"/>
              </w:rPr>
            </w:pPr>
            <w:r>
              <w:rPr>
                <w:u w:val="single"/>
              </w:rPr>
            </w:r>
          </w:p>
        </w:tc>
      </w:tr>
    </w:tbl>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rPr>
          <w:b/>
          <w:b/>
          <w:u w:val="single"/>
        </w:rPr>
      </w:pPr>
      <w:r>
        <w:rPr>
          <w:b/>
          <w:u w:val="single"/>
        </w:rPr>
      </w:r>
    </w:p>
    <w:p>
      <w:pPr>
        <w:pStyle w:val="Normal"/>
        <w:jc w:val="both"/>
        <w:rPr>
          <w:rFonts w:ascii="Cambria" w:hAnsi="Cambria" w:eastAsia="Cambria" w:cs="Cambria"/>
          <w:b/>
          <w:b/>
          <w:u w:val="single"/>
        </w:rPr>
      </w:pPr>
      <w:r>
        <w:br w:type="column"/>
      </w:r>
      <w:r>
        <w:rPr>
          <w:rFonts w:eastAsia="Cambria" w:cs="Cambria" w:ascii="Cambria" w:hAnsi="Cambria"/>
          <w:b/>
          <w:u w:val="single"/>
        </w:rPr>
        <w:t>ÍNDICE</w:t>
      </w:r>
    </w:p>
    <w:p>
      <w:pPr>
        <w:pStyle w:val="Normal"/>
        <w:jc w:val="both"/>
        <w:rPr>
          <w:rFonts w:ascii="Cambria" w:hAnsi="Cambria" w:eastAsia="Cambria" w:cs="Cambria"/>
        </w:rPr>
      </w:pPr>
      <w:r>
        <w:rPr>
          <w:rFonts w:eastAsia="Cambria" w:cs="Cambria" w:ascii="Cambria" w:hAnsi="Cambria"/>
        </w:rPr>
        <w:t>INTRODUCCIÓN</w:t>
      </w:r>
    </w:p>
    <w:p>
      <w:pPr>
        <w:pStyle w:val="Normal"/>
        <w:jc w:val="both"/>
        <w:rPr>
          <w:rFonts w:ascii="Cambria" w:hAnsi="Cambria" w:eastAsia="Cambria" w:cs="Cambria"/>
        </w:rPr>
      </w:pPr>
      <w:r>
        <w:rPr>
          <w:rFonts w:eastAsia="Cambria" w:cs="Cambria" w:ascii="Cambria" w:hAnsi="Cambria"/>
        </w:rPr>
        <w:t>1. COMPETENCIAS ESPECÍFICAS Y CRITERIOS DE EVALUACIÓN ASOCIADOS A ELLAS</w:t>
      </w:r>
    </w:p>
    <w:p>
      <w:pPr>
        <w:pStyle w:val="Normal"/>
        <w:jc w:val="both"/>
        <w:rPr>
          <w:rFonts w:ascii="Cambria" w:hAnsi="Cambria" w:eastAsia="Cambria" w:cs="Cambria"/>
        </w:rPr>
      </w:pPr>
      <w:r>
        <w:rPr>
          <w:rFonts w:eastAsia="Cambria" w:cs="Cambria" w:ascii="Cambria" w:hAnsi="Cambria"/>
        </w:rPr>
        <w:t>2. CONCRECIÓN, AGRUPAMIENTO Y SECUENCIACIÓN DE LOS SABERES BÁSICOS Y DE LOS CRITERIOS DE EVALUACIÓN EN UNIDADES DIDÁCTICAS</w:t>
      </w:r>
    </w:p>
    <w:p>
      <w:pPr>
        <w:pStyle w:val="Normal"/>
        <w:jc w:val="both"/>
        <w:rPr>
          <w:rFonts w:ascii="Cambria" w:hAnsi="Cambria" w:eastAsia="Cambria" w:cs="Cambria"/>
        </w:rPr>
      </w:pPr>
      <w:r>
        <w:rPr>
          <w:rFonts w:eastAsia="Cambria" w:cs="Cambria" w:ascii="Cambria" w:hAnsi="Cambria"/>
        </w:rPr>
        <w:t>3. PROCEDIMIENTOS E INSTRUMENTOS DE EVALUACIÓN</w:t>
      </w:r>
    </w:p>
    <w:p>
      <w:pPr>
        <w:pStyle w:val="Normal"/>
        <w:jc w:val="both"/>
        <w:rPr>
          <w:rFonts w:ascii="Cambria" w:hAnsi="Cambria" w:eastAsia="Cambria" w:cs="Cambria"/>
        </w:rPr>
      </w:pPr>
      <w:r>
        <w:rPr>
          <w:rFonts w:eastAsia="Cambria" w:cs="Cambria" w:ascii="Cambria" w:hAnsi="Cambria"/>
        </w:rPr>
        <w:t>4. CRITERIOS DE CALIFICACIÓN</w:t>
      </w:r>
    </w:p>
    <w:p>
      <w:pPr>
        <w:pStyle w:val="Normal"/>
        <w:jc w:val="both"/>
        <w:rPr>
          <w:rFonts w:ascii="Cambria" w:hAnsi="Cambria" w:eastAsia="Cambria" w:cs="Cambria"/>
        </w:rPr>
      </w:pPr>
      <w:r>
        <w:rPr>
          <w:rFonts w:eastAsia="Cambria" w:cs="Cambria" w:ascii="Cambria" w:hAnsi="Cambria"/>
        </w:rPr>
        <w:t>5. EVALUACIÓN INICIAL</w:t>
      </w:r>
    </w:p>
    <w:p>
      <w:pPr>
        <w:pStyle w:val="Normal"/>
        <w:jc w:val="both"/>
        <w:rPr>
          <w:rFonts w:ascii="Cambria" w:hAnsi="Cambria" w:eastAsia="Cambria" w:cs="Cambria"/>
        </w:rPr>
      </w:pPr>
      <w:r>
        <w:rPr>
          <w:rFonts w:eastAsia="Cambria" w:cs="Cambria" w:ascii="Cambria" w:hAnsi="Cambria"/>
        </w:rPr>
        <w:t>6. EVALUACIÓN EXTRAORDINARIA</w:t>
      </w:r>
    </w:p>
    <w:p>
      <w:pPr>
        <w:pStyle w:val="Normal"/>
        <w:jc w:val="both"/>
        <w:rPr>
          <w:rFonts w:ascii="Cambria" w:hAnsi="Cambria" w:eastAsia="Cambria" w:cs="Cambria"/>
        </w:rPr>
      </w:pPr>
      <w:r>
        <w:rPr>
          <w:rFonts w:eastAsia="Cambria" w:cs="Cambria" w:ascii="Cambria" w:hAnsi="Cambria"/>
        </w:rPr>
        <w:t>7. ACTUACIONES GENERALES DE ATENCIÓN A LAS DIFERENCIAS INDIVIDUALES</w:t>
      </w:r>
    </w:p>
    <w:p>
      <w:pPr>
        <w:pStyle w:val="Normal"/>
        <w:jc w:val="both"/>
        <w:rPr>
          <w:rFonts w:ascii="Cambria" w:hAnsi="Cambria" w:eastAsia="Cambria" w:cs="Cambria"/>
        </w:rPr>
      </w:pPr>
      <w:r>
        <w:rPr>
          <w:rFonts w:eastAsia="Cambria" w:cs="Cambria" w:ascii="Cambria" w:hAnsi="Cambria"/>
        </w:rPr>
        <w:t xml:space="preserve">8. PLAN DE RECUPERACIÓN DE MATERIAS PENDIENTES </w:t>
      </w:r>
    </w:p>
    <w:p>
      <w:pPr>
        <w:pStyle w:val="Normal"/>
        <w:jc w:val="both"/>
        <w:rPr>
          <w:rFonts w:ascii="Cambria" w:hAnsi="Cambria" w:eastAsia="Cambria" w:cs="Cambria"/>
        </w:rPr>
      </w:pPr>
      <w:r>
        <w:rPr>
          <w:rFonts w:eastAsia="Cambria" w:cs="Cambria" w:ascii="Cambria" w:hAnsi="Cambria"/>
        </w:rPr>
        <w:t>9. ESTRATEGIAS DIDÁCTICAS Y METODOLÓGICAS</w:t>
      </w:r>
    </w:p>
    <w:p>
      <w:pPr>
        <w:pStyle w:val="Normal"/>
        <w:jc w:val="both"/>
        <w:rPr>
          <w:rFonts w:ascii="Cambria" w:hAnsi="Cambria" w:eastAsia="Cambria" w:cs="Cambria"/>
        </w:rPr>
      </w:pPr>
      <w:r>
        <w:rPr>
          <w:rFonts w:eastAsia="Cambria" w:cs="Cambria" w:ascii="Cambria" w:hAnsi="Cambria"/>
        </w:rPr>
        <w:t>10. CONCRECIÓN DEL PLAN DE IMPLEMENTACIÓN DE ELEMENTOS TRANSVERSALES</w:t>
      </w:r>
    </w:p>
    <w:p>
      <w:pPr>
        <w:pStyle w:val="Normal"/>
        <w:jc w:val="both"/>
        <w:rPr>
          <w:rFonts w:ascii="Cambria" w:hAnsi="Cambria" w:eastAsia="Cambria" w:cs="Cambria"/>
        </w:rPr>
      </w:pPr>
      <w:r>
        <w:rPr>
          <w:rFonts w:eastAsia="Cambria" w:cs="Cambria" w:ascii="Cambria" w:hAnsi="Cambria"/>
        </w:rPr>
        <w:t xml:space="preserve">11. CONCRECIÓN DEL PLAN DE UTILIZACIÓN DE LAS TECNOLOGÍAS DIGITALES </w:t>
      </w:r>
    </w:p>
    <w:p>
      <w:pPr>
        <w:pStyle w:val="Normal"/>
        <w:jc w:val="both"/>
        <w:rPr>
          <w:rFonts w:ascii="Cambria" w:hAnsi="Cambria" w:eastAsia="Cambria" w:cs="Cambria"/>
        </w:rPr>
      </w:pPr>
      <w:r>
        <w:rPr>
          <w:rFonts w:eastAsia="Cambria" w:cs="Cambria" w:ascii="Cambria" w:hAnsi="Cambria"/>
        </w:rPr>
        <w:t>12. MECANISMOS DE REVISIÓN, EVALUACIÓN Y MODIFICACIÓN DE LAS PROGRAMACIONES DIDÁCTICAS</w:t>
      </w:r>
    </w:p>
    <w:p>
      <w:pPr>
        <w:pStyle w:val="Normal"/>
        <w:jc w:val="both"/>
        <w:rPr>
          <w:rFonts w:ascii="Cambria" w:hAnsi="Cambria" w:eastAsia="Cambria" w:cs="Cambria"/>
        </w:rPr>
      </w:pPr>
      <w:r>
        <w:rPr>
          <w:rFonts w:eastAsia="Cambria" w:cs="Cambria" w:ascii="Cambria" w:hAnsi="Cambria"/>
        </w:rPr>
        <w:t>13. ACTIVIDADES COMPLEMENTARIAS Y EXTRAESCOLARES</w:t>
      </w:r>
    </w:p>
    <w:p>
      <w:pPr>
        <w:pStyle w:val="Normal"/>
        <w:jc w:val="both"/>
        <w:rPr>
          <w:rFonts w:ascii="Cambria" w:hAnsi="Cambria" w:eastAsia="Cambria" w:cs="Cambria"/>
        </w:rPr>
      </w:pPr>
      <w:r>
        <w:rPr>
          <w:rFonts w:eastAsia="Cambria" w:cs="Cambria" w:ascii="Cambria" w:hAnsi="Cambria"/>
        </w:rPr>
        <w:t>14. FORMA EN LA QUE SE DAN A CONOCER LOS ASPECTOS RELEVANTES DE ESTA PROGRAMACIÓN AL ALUMNADO Y LAS FAMILIAS</w:t>
      </w:r>
    </w:p>
    <w:p>
      <w:pPr>
        <w:pStyle w:val="Normal"/>
        <w:jc w:val="both"/>
        <w:rPr>
          <w:rFonts w:ascii="Cambria" w:hAnsi="Cambria" w:eastAsia="Cambria" w:cs="Cambria"/>
        </w:rPr>
      </w:pPr>
      <w:r>
        <w:rPr>
          <w:rFonts w:eastAsia="Cambria" w:cs="Cambria" w:ascii="Cambria" w:hAnsi="Cambria"/>
        </w:rPr>
        <w:t>15. OTRAS CONSIDERACIONES</w:t>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b/>
          <w:b/>
          <w:u w:val="single"/>
        </w:rPr>
      </w:pPr>
      <w:r>
        <w:rPr>
          <w:rFonts w:eastAsia="Cambria" w:cs="Cambria" w:ascii="Cambria" w:hAnsi="Cambria"/>
          <w:b/>
          <w:u w:val="single"/>
        </w:rPr>
        <w:t>INTRODUCCIÓN</w:t>
      </w:r>
    </w:p>
    <w:p>
      <w:pPr>
        <w:pStyle w:val="Normal"/>
        <w:jc w:val="both"/>
        <w:rPr>
          <w:rFonts w:ascii="Cambria" w:hAnsi="Cambria" w:eastAsia="Cambria" w:cs="Cambria"/>
        </w:rPr>
      </w:pPr>
      <w:r>
        <w:rPr>
          <w:rFonts w:eastAsia="Cambria" w:cs="Cambria" w:ascii="Cambria" w:hAnsi="Cambria"/>
        </w:rPr>
        <w:t>Programación Didáctica de la materia “NOMBRE”, perteneciente a _____ de Bachillerato.</w:t>
      </w:r>
    </w:p>
    <w:p>
      <w:pPr>
        <w:pStyle w:val="Normal"/>
        <w:jc w:val="both"/>
        <w:rPr>
          <w:rFonts w:ascii="Cambria" w:hAnsi="Cambria" w:eastAsia="Cambria" w:cs="Cambria"/>
        </w:rPr>
      </w:pPr>
      <w:r>
        <w:rPr>
          <w:rFonts w:eastAsia="Cambria" w:cs="Cambria" w:ascii="Cambria" w:hAnsi="Cambria"/>
        </w:rPr>
        <w:t>La normativa básica para la elaboración de esta programación es:</w:t>
      </w:r>
    </w:p>
    <w:p>
      <w:pPr>
        <w:pStyle w:val="Normal"/>
        <w:numPr>
          <w:ilvl w:val="0"/>
          <w:numId w:val="1"/>
        </w:numPr>
        <w:jc w:val="both"/>
        <w:rPr>
          <w:rFonts w:ascii="Cambria" w:hAnsi="Cambria" w:eastAsia="Cambria" w:cs="Cambria"/>
        </w:rPr>
      </w:pPr>
      <w:r>
        <w:rPr>
          <w:rFonts w:eastAsia="Cambria" w:cs="Cambria" w:ascii="Cambria" w:hAnsi="Cambria"/>
          <w:i/>
        </w:rPr>
        <w:t>Orden de 18 de mayo de 2015, de la Consejera de Educación, Universidad, Cultura y Deporte, por la que se aprueban las Instrucciones que regulan la organización y el funcionamiento de los Institutos de Educación Secundaria de la Comunidad Autónoma de Aragón, modificada por Orden ECD/779/2016, de 11 de julio.</w:t>
      </w:r>
    </w:p>
    <w:p>
      <w:pPr>
        <w:pStyle w:val="Normal"/>
        <w:numPr>
          <w:ilvl w:val="0"/>
          <w:numId w:val="1"/>
        </w:numPr>
        <w:jc w:val="both"/>
        <w:rPr>
          <w:rFonts w:ascii="Cambria" w:hAnsi="Cambria" w:eastAsia="Cambria" w:cs="Cambria"/>
          <w:i/>
          <w:i/>
        </w:rPr>
      </w:pPr>
      <w:r>
        <w:rPr>
          <w:rFonts w:eastAsia="Cambria" w:cs="Cambria" w:ascii="Cambria" w:hAnsi="Cambria"/>
          <w:i/>
        </w:rPr>
        <w:t>Orden ECD/1173/2022, de 3 de agosto, por la que se aprueban el currículo y las características de la evaluación de Bachillerato y se autoriza su aplicación en los centros docentes de la Comunidad Autónoma de Aragón.</w:t>
      </w:r>
    </w:p>
    <w:p>
      <w:pPr>
        <w:pStyle w:val="Normal"/>
        <w:numPr>
          <w:ilvl w:val="0"/>
          <w:numId w:val="1"/>
        </w:numPr>
        <w:jc w:val="both"/>
        <w:rPr>
          <w:rFonts w:ascii="Cambria" w:hAnsi="Cambria" w:eastAsia="Cambria" w:cs="Cambria"/>
          <w:i/>
          <w:i/>
        </w:rPr>
      </w:pPr>
      <w:r>
        <w:rPr>
          <w:rFonts w:eastAsia="Cambria" w:cs="Cambria" w:ascii="Cambria" w:hAnsi="Cambria"/>
          <w:i/>
        </w:rPr>
        <w:t>Orden ECD/886/2024, de 25 de julio, por la que se modifica la Orden ECD/1173/2022, de 3 de agosto, por la que se aprueban el currículo y las características de la evaluación de Bachillerato y se autoriza su aplicación en los centros docentes de la Comunidad Autónoma de Aragón.</w:t>
      </w:r>
    </w:p>
    <w:p>
      <w:pPr>
        <w:pStyle w:val="Normal"/>
        <w:jc w:val="both"/>
        <w:rPr/>
      </w:pPr>
      <w:r>
        <w:rPr>
          <w:rFonts w:eastAsia="Cambria" w:cs="Cambria" w:ascii="Cambria" w:hAnsi="Cambria"/>
          <w:b/>
          <w:u w:val="single"/>
        </w:rPr>
        <w:t>1. COMPETENCIAS ESPECÍFICAS Y CRITERIOS DE EVALUACIÓN ASOCIADOS A ELLAS</w:t>
      </w:r>
    </w:p>
    <w:p>
      <w:pPr>
        <w:pStyle w:val="Ttulo2"/>
        <w:rPr>
          <w:rFonts w:ascii="Calibri" w:hAnsi="Calibri"/>
          <w:sz w:val="22"/>
          <w:szCs w:val="22"/>
        </w:rPr>
      </w:pPr>
      <w:r>
        <w:rPr>
          <w:sz w:val="22"/>
          <w:szCs w:val="22"/>
        </w:rPr>
        <w:t>Competencia específica de la materia Física y Química 1:</w:t>
      </w:r>
    </w:p>
    <w:p>
      <w:pPr>
        <w:pStyle w:val="Normal"/>
        <w:pBdr>
          <w:top w:val="single" w:sz="4" w:space="1" w:color="000000"/>
          <w:left w:val="single" w:sz="4" w:space="4" w:color="000000"/>
          <w:bottom w:val="single" w:sz="4" w:space="1" w:color="000000"/>
          <w:right w:val="single" w:sz="4" w:space="4" w:color="000000"/>
        </w:pBdr>
        <w:shd w:val="clear" w:fill="D9D9D9"/>
        <w:rPr>
          <w:rFonts w:ascii="Calibri" w:hAnsi="Calibri"/>
          <w:sz w:val="22"/>
          <w:szCs w:val="22"/>
        </w:rPr>
      </w:pPr>
      <w:r>
        <w:rPr>
          <w:b/>
          <w:sz w:val="22"/>
          <w:szCs w:val="22"/>
        </w:rPr>
        <w:t xml:space="preserve">CE.FQ.1. </w:t>
      </w:r>
      <w:r>
        <w:rPr>
          <w:sz w:val="22"/>
          <w:szCs w:val="22"/>
        </w:rPr>
        <w:t>Resolver problemas y situaciones relacionados con la Física y la Química, aplicando las leyes y teorías científicas adecuadas, para comprender y explicar los fenómenos naturales y evidenciar el papel de estas ciencias en la mejora del bienestar común y en la realidad cotidiana.</w:t>
      </w:r>
    </w:p>
    <w:p>
      <w:pPr>
        <w:pStyle w:val="Normal"/>
        <w:rPr>
          <w:rFonts w:ascii="Calibri" w:hAnsi="Calibri"/>
          <w:sz w:val="22"/>
          <w:szCs w:val="22"/>
        </w:rPr>
      </w:pPr>
      <w:r>
        <w:rPr>
          <w:sz w:val="22"/>
          <w:szCs w:val="22"/>
        </w:rPr>
      </w:r>
    </w:p>
    <w:p>
      <w:pPr>
        <w:pStyle w:val="Normal"/>
        <w:rPr>
          <w:rFonts w:ascii="Calibri" w:hAnsi="Calibri"/>
          <w:sz w:val="22"/>
          <w:szCs w:val="22"/>
        </w:rPr>
      </w:pPr>
      <w:r>
        <w:rPr>
          <w:sz w:val="22"/>
          <w:szCs w:val="22"/>
        </w:rPr>
        <w:t>Vinculación con las siguientes competencias:: CE.FQ.5, CE.B.4, CE.BGCA.4, CE.CG.1, CE.CG.2, CE.F.1, CE.CGA.4, CE.M.1 y CE.Q.1.</w:t>
      </w:r>
    </w:p>
    <w:p>
      <w:pPr>
        <w:pStyle w:val="Normal"/>
        <w:ind w:left="0" w:right="0" w:hanging="0"/>
        <w:rPr>
          <w:rFonts w:ascii="Calibri" w:hAnsi="Calibri"/>
          <w:sz w:val="22"/>
          <w:szCs w:val="22"/>
        </w:rPr>
      </w:pPr>
      <w:r>
        <w:rPr>
          <w:sz w:val="22"/>
          <w:szCs w:val="22"/>
        </w:rPr>
        <w:t>Conexión con los siguientes descriptores: STEM1, STEM2, STEM5, CPSAA2.</w:t>
      </w:r>
    </w:p>
    <w:p>
      <w:pPr>
        <w:pStyle w:val="Normal"/>
        <w:ind w:left="0" w:right="0" w:hanging="0"/>
        <w:rPr>
          <w:rFonts w:ascii="Calibri" w:hAnsi="Calibri"/>
          <w:sz w:val="22"/>
          <w:szCs w:val="22"/>
        </w:rPr>
      </w:pPr>
      <w:r>
        <w:rPr>
          <w:sz w:val="22"/>
          <w:szCs w:val="22"/>
        </w:rPr>
      </w:r>
    </w:p>
    <w:p>
      <w:pPr>
        <w:pStyle w:val="Ttulo2"/>
        <w:rPr>
          <w:rFonts w:ascii="Calibri" w:hAnsi="Calibri"/>
          <w:sz w:val="22"/>
          <w:szCs w:val="22"/>
        </w:rPr>
      </w:pPr>
      <w:r>
        <w:rPr>
          <w:sz w:val="22"/>
          <w:szCs w:val="22"/>
        </w:rPr>
        <w:t>Competencia específica de la materia Física y Química 2:</w:t>
      </w:r>
    </w:p>
    <w:p>
      <w:pPr>
        <w:pStyle w:val="Normal"/>
        <w:pBdr>
          <w:top w:val="single" w:sz="4" w:space="1" w:color="000000"/>
          <w:left w:val="single" w:sz="4" w:space="4" w:color="000000"/>
          <w:bottom w:val="single" w:sz="4" w:space="1" w:color="000000"/>
          <w:right w:val="single" w:sz="4" w:space="4" w:color="000000"/>
        </w:pBdr>
        <w:shd w:val="clear" w:fill="D9D9D9"/>
        <w:rPr>
          <w:rFonts w:ascii="Calibri" w:hAnsi="Calibri"/>
          <w:sz w:val="22"/>
          <w:szCs w:val="22"/>
        </w:rPr>
      </w:pPr>
      <w:r>
        <w:rPr>
          <w:b/>
          <w:sz w:val="22"/>
          <w:szCs w:val="22"/>
        </w:rPr>
        <w:t xml:space="preserve">CE.FQ.2. </w:t>
      </w:r>
      <w:r>
        <w:rPr>
          <w:sz w:val="22"/>
          <w:szCs w:val="22"/>
        </w:rPr>
        <w:t>Razonar, usando el pensamiento científico y las destrezas relacionadas con el trabajo de la ciencia con solvencia, para aplicarlo a la observación de la naturaleza y el entorno, a la formulación de preguntas e hipótesis y a la validación de las mismas a través de la experimentación, la indagación y la búsqueda de evidencias.</w:t>
      </w:r>
    </w:p>
    <w:p>
      <w:pPr>
        <w:pStyle w:val="Ttulo3"/>
        <w:ind w:left="0" w:right="0" w:hanging="0"/>
        <w:rPr>
          <w:rFonts w:ascii="Calibri" w:hAnsi="Calibri"/>
          <w:sz w:val="22"/>
          <w:szCs w:val="22"/>
        </w:rPr>
      </w:pPr>
      <w:r>
        <w:rPr>
          <w:sz w:val="22"/>
          <w:szCs w:val="22"/>
        </w:rPr>
      </w:r>
    </w:p>
    <w:p>
      <w:pPr>
        <w:pStyle w:val="Normal"/>
        <w:rPr>
          <w:rFonts w:ascii="Calibri" w:hAnsi="Calibri"/>
          <w:sz w:val="22"/>
          <w:szCs w:val="22"/>
        </w:rPr>
      </w:pPr>
      <w:r>
        <w:rPr>
          <w:sz w:val="22"/>
          <w:szCs w:val="22"/>
        </w:rPr>
        <w:t xml:space="preserve">Vinculación con las siguientes competencias: CE.B.1, CE.BGCA.1, CE.CG.4., CE.M.3. y CE.FI.1. </w:t>
      </w:r>
    </w:p>
    <w:p>
      <w:pPr>
        <w:pStyle w:val="Normal"/>
        <w:ind w:left="0" w:right="0" w:hanging="0"/>
        <w:rPr>
          <w:rFonts w:ascii="Calibri" w:hAnsi="Calibri"/>
          <w:sz w:val="22"/>
          <w:szCs w:val="22"/>
        </w:rPr>
      </w:pPr>
      <w:r>
        <w:rPr>
          <w:sz w:val="22"/>
          <w:szCs w:val="22"/>
        </w:rPr>
        <w:t>Conexión con los siguientes descriptores: STEM1, STEM2, CPSAA5, CE1.</w:t>
      </w:r>
    </w:p>
    <w:p>
      <w:pPr>
        <w:pStyle w:val="Normal"/>
        <w:ind w:left="0" w:right="0" w:hanging="0"/>
        <w:rPr>
          <w:rFonts w:ascii="Calibri" w:hAnsi="Calibri"/>
          <w:sz w:val="22"/>
          <w:szCs w:val="22"/>
        </w:rPr>
      </w:pPr>
      <w:r>
        <w:rPr>
          <w:sz w:val="22"/>
          <w:szCs w:val="22"/>
        </w:rPr>
      </w:r>
    </w:p>
    <w:p>
      <w:pPr>
        <w:pStyle w:val="Ttulo2"/>
        <w:rPr>
          <w:rFonts w:ascii="Calibri" w:hAnsi="Calibri"/>
          <w:sz w:val="22"/>
          <w:szCs w:val="22"/>
        </w:rPr>
      </w:pPr>
      <w:r>
        <w:rPr>
          <w:sz w:val="22"/>
          <w:szCs w:val="22"/>
        </w:rPr>
        <w:t>Competencia específica de la materia Física y Química 3:</w:t>
      </w:r>
    </w:p>
    <w:p>
      <w:pPr>
        <w:pStyle w:val="Normal"/>
        <w:pBdr>
          <w:top w:val="single" w:sz="4" w:space="1" w:color="000000"/>
          <w:left w:val="single" w:sz="4" w:space="4" w:color="000000"/>
          <w:bottom w:val="single" w:sz="4" w:space="1" w:color="000000"/>
          <w:right w:val="single" w:sz="4" w:space="4" w:color="000000"/>
        </w:pBdr>
        <w:shd w:val="clear" w:fill="D9D9D9"/>
        <w:rPr>
          <w:rFonts w:ascii="Calibri" w:hAnsi="Calibri"/>
          <w:sz w:val="22"/>
          <w:szCs w:val="22"/>
        </w:rPr>
      </w:pPr>
      <w:r>
        <w:rPr>
          <w:b/>
          <w:sz w:val="22"/>
          <w:szCs w:val="22"/>
        </w:rPr>
        <w:t xml:space="preserve">CE.FQ.3. </w:t>
      </w:r>
      <w:r>
        <w:rPr>
          <w:sz w:val="22"/>
          <w:szCs w:val="22"/>
        </w:rPr>
        <w:t>Manejar con propiedad y solvencia el flujo de información en los diferentes registros de comunicación de la ciencia como la nomenclatura de compuestos químicos, el uso del lenguaje matemático, el uso correcto de las unidades de medida, la seguridad en el trabajo experimental, para la producción e interpretación de información en diferentes formatos y a partir de fuentes diversas.</w:t>
      </w:r>
    </w:p>
    <w:p>
      <w:pPr>
        <w:pStyle w:val="Normal"/>
        <w:ind w:left="0" w:right="0" w:hanging="0"/>
        <w:rPr>
          <w:rFonts w:ascii="Calibri" w:hAnsi="Calibri"/>
          <w:sz w:val="22"/>
          <w:szCs w:val="22"/>
        </w:rPr>
      </w:pPr>
      <w:r>
        <w:rPr>
          <w:sz w:val="22"/>
          <w:szCs w:val="22"/>
        </w:rPr>
      </w:r>
    </w:p>
    <w:p>
      <w:pPr>
        <w:pStyle w:val="Normal"/>
        <w:ind w:left="0" w:right="0" w:hanging="0"/>
        <w:rPr>
          <w:rFonts w:ascii="Calibri" w:hAnsi="Calibri"/>
          <w:sz w:val="22"/>
          <w:szCs w:val="22"/>
        </w:rPr>
      </w:pPr>
      <w:r>
        <w:rPr>
          <w:sz w:val="22"/>
          <w:szCs w:val="22"/>
        </w:rPr>
        <w:t xml:space="preserve">Vinculación con las siguientes competencias: CE.FQ.5, CE.FQ.4, CE.B.2, CE.BGCA.2, CE.F.3 y CE.Q.3. </w:t>
      </w:r>
    </w:p>
    <w:p>
      <w:pPr>
        <w:pStyle w:val="Normal"/>
        <w:ind w:left="0" w:right="0" w:hanging="0"/>
        <w:rPr>
          <w:rFonts w:ascii="Calibri" w:hAnsi="Calibri"/>
          <w:sz w:val="22"/>
          <w:szCs w:val="22"/>
        </w:rPr>
      </w:pPr>
      <w:r>
        <w:rPr>
          <w:sz w:val="22"/>
          <w:szCs w:val="22"/>
        </w:rPr>
        <w:t>Conexión con los siguientes descriptores: CCL1, CCL5, STEM4, CD2.</w:t>
      </w:r>
    </w:p>
    <w:p>
      <w:pPr>
        <w:pStyle w:val="Normal"/>
        <w:ind w:left="0" w:right="0" w:hanging="0"/>
        <w:rPr>
          <w:rFonts w:ascii="Calibri" w:hAnsi="Calibri"/>
          <w:sz w:val="22"/>
          <w:szCs w:val="22"/>
        </w:rPr>
      </w:pPr>
      <w:r>
        <w:rPr>
          <w:sz w:val="22"/>
          <w:szCs w:val="22"/>
        </w:rPr>
      </w:r>
    </w:p>
    <w:p>
      <w:pPr>
        <w:pStyle w:val="Ttulo2"/>
        <w:rPr>
          <w:rFonts w:ascii="Calibri" w:hAnsi="Calibri"/>
          <w:sz w:val="22"/>
          <w:szCs w:val="22"/>
        </w:rPr>
      </w:pPr>
      <w:r>
        <w:rPr>
          <w:sz w:val="22"/>
          <w:szCs w:val="22"/>
        </w:rPr>
        <w:t>Competencia específica de la materia Física y Química 4:</w:t>
      </w:r>
    </w:p>
    <w:p>
      <w:pPr>
        <w:pStyle w:val="Normal"/>
        <w:pBdr>
          <w:top w:val="single" w:sz="4" w:space="1" w:color="000000"/>
          <w:left w:val="single" w:sz="4" w:space="4" w:color="000000"/>
          <w:bottom w:val="single" w:sz="4" w:space="1" w:color="000000"/>
          <w:right w:val="single" w:sz="4" w:space="4" w:color="000000"/>
        </w:pBdr>
        <w:shd w:val="clear" w:fill="D9D9D9"/>
        <w:rPr>
          <w:rFonts w:ascii="Calibri" w:hAnsi="Calibri"/>
          <w:sz w:val="22"/>
          <w:szCs w:val="22"/>
        </w:rPr>
      </w:pPr>
      <w:r>
        <w:rPr>
          <w:b/>
          <w:sz w:val="22"/>
          <w:szCs w:val="22"/>
        </w:rPr>
        <w:t xml:space="preserve">CE.FQ.4. </w:t>
      </w:r>
      <w:r>
        <w:rPr>
          <w:sz w:val="22"/>
          <w:szCs w:val="22"/>
        </w:rPr>
        <w:t>Utilizar de forma autónoma, crítica y eficiente plataformas digitales y recursos variados, tanto para el trabajo individual como en equipo, consultando y seleccionando información científica veraz, creando materiales en diversos formatos y comunicando de manera efectiva en diferentes entornos de aprendizaje, para fomentar la creatividad, el desarrollo personal y el aprendizaje individual y social.</w:t>
      </w:r>
    </w:p>
    <w:p>
      <w:pPr>
        <w:pStyle w:val="Normal"/>
        <w:rPr>
          <w:rFonts w:ascii="Calibri" w:hAnsi="Calibri" w:eastAsia="Times New Roman" w:cs="Calibri"/>
          <w:color w:val="000000"/>
          <w:sz w:val="22"/>
          <w:szCs w:val="22"/>
          <w:lang w:eastAsia="es-ES"/>
        </w:rPr>
      </w:pPr>
      <w:r>
        <w:rPr>
          <w:rFonts w:eastAsia="Times New Roman" w:cs="Calibri"/>
          <w:color w:val="000000"/>
          <w:sz w:val="22"/>
          <w:szCs w:val="22"/>
          <w:lang w:eastAsia="es-ES"/>
        </w:rPr>
        <w:t xml:space="preserve"> </w:t>
      </w:r>
    </w:p>
    <w:p>
      <w:pPr>
        <w:pStyle w:val="Normal"/>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rPr>
          <w:rFonts w:ascii="Calibri" w:hAnsi="Calibri"/>
          <w:sz w:val="22"/>
          <w:szCs w:val="22"/>
        </w:rPr>
      </w:pPr>
      <w:r>
        <w:rPr>
          <w:rFonts w:eastAsia="Times New Roman" w:cs="Calibri"/>
          <w:color w:val="000000"/>
          <w:sz w:val="22"/>
          <w:szCs w:val="22"/>
          <w:lang w:eastAsia="es-ES"/>
        </w:rPr>
        <w:t>Vinculación con las siguientes competencias: CE.FQ.5, CE.FQ.6, CE.F.4 y CE.TI.3.</w:t>
      </w:r>
    </w:p>
    <w:p>
      <w:pPr>
        <w:pStyle w:val="Normal"/>
        <w:ind w:left="0" w:right="0" w:hanging="0"/>
        <w:rPr>
          <w:rFonts w:ascii="Calibri" w:hAnsi="Calibri"/>
          <w:sz w:val="22"/>
          <w:szCs w:val="22"/>
        </w:rPr>
      </w:pPr>
      <w:r>
        <w:rPr>
          <w:rFonts w:eastAsia="Times New Roman" w:cs="Calibri"/>
          <w:color w:val="000000"/>
          <w:sz w:val="22"/>
          <w:szCs w:val="22"/>
          <w:lang w:eastAsia="es-ES"/>
        </w:rPr>
        <w:t>Conexión con los siguientes descriptores: STEM3, CD1, CD3, CPSAA6, CE2.</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Ttulo2"/>
        <w:rPr>
          <w:rFonts w:ascii="Calibri" w:hAnsi="Calibri"/>
          <w:sz w:val="22"/>
          <w:szCs w:val="22"/>
        </w:rPr>
      </w:pPr>
      <w:r>
        <w:rPr>
          <w:sz w:val="22"/>
          <w:szCs w:val="22"/>
        </w:rPr>
        <w:t>Competencia específica de la materia Física y Química 5:</w:t>
      </w:r>
    </w:p>
    <w:p>
      <w:pPr>
        <w:pStyle w:val="Normal"/>
        <w:pBdr>
          <w:top w:val="single" w:sz="4" w:space="1" w:color="000000"/>
          <w:left w:val="single" w:sz="4" w:space="4" w:color="000000"/>
          <w:bottom w:val="single" w:sz="4" w:space="1" w:color="000000"/>
          <w:right w:val="single" w:sz="4" w:space="4" w:color="000000"/>
        </w:pBdr>
        <w:shd w:val="clear" w:fill="D9D9D9"/>
        <w:rPr>
          <w:rFonts w:ascii="Calibri" w:hAnsi="Calibri"/>
          <w:sz w:val="22"/>
          <w:szCs w:val="22"/>
        </w:rPr>
      </w:pPr>
      <w:r>
        <w:rPr>
          <w:b/>
          <w:sz w:val="22"/>
          <w:szCs w:val="22"/>
        </w:rPr>
        <w:t xml:space="preserve">CE.FQ.5. </w:t>
      </w:r>
      <w:r>
        <w:rPr>
          <w:sz w:val="22"/>
          <w:szCs w:val="22"/>
        </w:rPr>
        <w:t>Trabajar de forma colaborativa en equipos diversos, aplicando habilidades de coordinación, comunicación, emprendimiento y reparto equilibrado de responsabilidades, para predecir las consecuencias de los avances científicos y su influencia sobre la salud propia y comunitaria y sobre el desarrollo medioambiental sostenible.</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ind w:left="0" w:right="0" w:hanging="0"/>
        <w:rPr>
          <w:rFonts w:ascii="Calibri" w:hAnsi="Calibri"/>
          <w:sz w:val="22"/>
          <w:szCs w:val="22"/>
        </w:rPr>
      </w:pPr>
      <w:r>
        <w:rPr>
          <w:rFonts w:eastAsia="Times New Roman" w:cs="Calibri"/>
          <w:color w:val="000000"/>
          <w:sz w:val="22"/>
          <w:szCs w:val="22"/>
          <w:lang w:eastAsia="es-ES"/>
        </w:rPr>
        <w:t>Vinculación con las siguientes competencias:CE.FQ.4,CE.B.5, CE.F.5 y CE.Q.5.</w:t>
      </w:r>
    </w:p>
    <w:p>
      <w:pPr>
        <w:pStyle w:val="Normal"/>
        <w:ind w:left="0" w:right="0" w:hanging="0"/>
        <w:rPr>
          <w:rFonts w:ascii="Calibri" w:hAnsi="Calibri"/>
          <w:sz w:val="22"/>
          <w:szCs w:val="22"/>
        </w:rPr>
      </w:pPr>
      <w:r>
        <w:rPr>
          <w:rFonts w:eastAsia="Times New Roman" w:cs="Calibri"/>
          <w:color w:val="000000"/>
          <w:sz w:val="22"/>
          <w:szCs w:val="22"/>
          <w:lang w:eastAsia="es-ES"/>
        </w:rPr>
        <w:t>Conexión con los siguientes descriptores: STEM3, STEM5, CPSAA4, CPSAA6.</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Ttulo2"/>
        <w:rPr>
          <w:rFonts w:ascii="Calibri" w:hAnsi="Calibri"/>
          <w:sz w:val="22"/>
          <w:szCs w:val="22"/>
        </w:rPr>
      </w:pPr>
      <w:r>
        <w:rPr>
          <w:sz w:val="22"/>
          <w:szCs w:val="22"/>
        </w:rPr>
        <w:t>Competencia específica de la materia Física y Química 6:</w:t>
      </w:r>
    </w:p>
    <w:p>
      <w:pPr>
        <w:pStyle w:val="Normal"/>
        <w:pBdr>
          <w:top w:val="single" w:sz="4" w:space="1" w:color="000000"/>
          <w:left w:val="single" w:sz="4" w:space="4" w:color="000000"/>
          <w:bottom w:val="single" w:sz="4" w:space="1" w:color="000000"/>
          <w:right w:val="single" w:sz="4" w:space="4" w:color="000000"/>
        </w:pBdr>
        <w:shd w:val="clear" w:fill="D9D9D9"/>
        <w:rPr>
          <w:rFonts w:ascii="Calibri" w:hAnsi="Calibri"/>
          <w:sz w:val="22"/>
          <w:szCs w:val="22"/>
        </w:rPr>
      </w:pPr>
      <w:r>
        <w:rPr>
          <w:b/>
          <w:sz w:val="22"/>
          <w:szCs w:val="22"/>
        </w:rPr>
        <w:t xml:space="preserve">CE.FQ.6. </w:t>
      </w:r>
      <w:r>
        <w:rPr>
          <w:sz w:val="22"/>
          <w:szCs w:val="22"/>
        </w:rPr>
        <w:t>Participar de forma activa en la construcción colectiva y evolutiva del conocimiento científico, en su entorno cotidiano y cercano, para convertirse en agentes activos de la difusión del pensamiento científico, la aproximación escéptica a la información científica y tecnológica y la puesta en valor de la preservación del medioambiente y la salud pública, el desarrollo económico y la búsqueda de una sociedad igualitaria.</w:t>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r>
    </w:p>
    <w:p>
      <w:pPr>
        <w:pStyle w:val="Normal"/>
        <w:ind w:left="0" w:right="0" w:hanging="0"/>
        <w:rPr>
          <w:rFonts w:ascii="Calibri" w:hAnsi="Calibri" w:eastAsia="Times New Roman" w:cs="Calibri"/>
          <w:color w:val="000000"/>
          <w:sz w:val="22"/>
          <w:szCs w:val="22"/>
          <w:lang w:eastAsia="es-ES"/>
        </w:rPr>
      </w:pPr>
      <w:r>
        <w:rPr>
          <w:rFonts w:eastAsia="Times New Roman" w:cs="Calibri"/>
          <w:color w:val="000000"/>
          <w:sz w:val="22"/>
          <w:szCs w:val="22"/>
          <w:lang w:eastAsia="es-ES"/>
        </w:rPr>
        <w:t>Vinculación con las siguientes competencias:CE.FQ.5,CE.FQ.1,CE.B.5, CE.BGCA.5, CE.CG.5 y CE.GCA.5.</w:t>
      </w:r>
    </w:p>
    <w:p>
      <w:pPr>
        <w:pStyle w:val="Normal"/>
        <w:ind w:left="0" w:right="0" w:hanging="0"/>
        <w:jc w:val="both"/>
        <w:rPr>
          <w:rFonts w:ascii="Calibri" w:hAnsi="Calibri" w:eastAsia="Times New Roman" w:cs="Calibri"/>
          <w:b w:val="false"/>
          <w:b w:val="false"/>
          <w:bCs w:val="false"/>
          <w:color w:val="000000"/>
          <w:sz w:val="22"/>
          <w:szCs w:val="22"/>
          <w:u w:val="none"/>
          <w:lang w:eastAsia="es-ES"/>
        </w:rPr>
      </w:pPr>
      <w:r>
        <w:rPr>
          <w:rFonts w:eastAsia="Cambria" w:cs="Cambria" w:ascii="Cambria" w:hAnsi="Cambria"/>
          <w:b w:val="false"/>
          <w:bCs w:val="false"/>
          <w:color w:val="000000"/>
          <w:sz w:val="22"/>
          <w:szCs w:val="22"/>
          <w:u w:val="none"/>
          <w:lang w:eastAsia="es-ES"/>
        </w:rPr>
        <w:t>Conexión con los siguientes descriptores: STEM3, STEM4, STEM5, CPSAA7, CE2.</w:t>
      </w:r>
      <w:r>
        <w:br w:type="page"/>
      </w:r>
    </w:p>
    <w:p>
      <w:pPr>
        <w:pStyle w:val="Normal"/>
        <w:jc w:val="both"/>
        <w:rPr>
          <w:rFonts w:ascii="Calibri" w:hAnsi="Calibri"/>
          <w:b/>
          <w:b/>
          <w:bCs/>
          <w:sz w:val="22"/>
          <w:szCs w:val="22"/>
          <w:u w:val="single"/>
        </w:rPr>
      </w:pPr>
      <w:r>
        <w:rPr>
          <w:b/>
          <w:bCs/>
          <w:sz w:val="22"/>
          <w:szCs w:val="22"/>
          <w:u w:val="single"/>
        </w:rPr>
        <w:t xml:space="preserve">Criterios de evaluación asociados a las competencias </w:t>
      </w:r>
    </w:p>
    <w:p>
      <w:pPr>
        <w:pStyle w:val="Normal"/>
        <w:jc w:val="both"/>
        <w:rPr>
          <w:rFonts w:ascii="Calibri" w:hAnsi="Calibri"/>
          <w:sz w:val="22"/>
          <w:szCs w:val="22"/>
        </w:rPr>
      </w:pPr>
      <w:r>
        <w:rPr>
          <w:sz w:val="22"/>
          <w:szCs w:val="22"/>
        </w:rPr>
      </w:r>
    </w:p>
    <w:p>
      <w:pPr>
        <w:pStyle w:val="Estiloparrafos"/>
        <w:bidi w:val="0"/>
        <w:jc w:val="both"/>
        <w:rPr>
          <w:rFonts w:ascii="Calibri" w:hAnsi="Calibri"/>
          <w:sz w:val="22"/>
          <w:szCs w:val="22"/>
        </w:rPr>
      </w:pPr>
      <w:r>
        <w:rPr>
          <w:rFonts w:ascii="Calibri" w:hAnsi="Calibri"/>
          <w:sz w:val="22"/>
          <w:szCs w:val="22"/>
        </w:rPr>
        <w:t>A continuación se indican los criterios de evaluación relacionando las competencias específicas con los objetivos generales.</w:t>
      </w:r>
    </w:p>
    <w:p>
      <w:pPr>
        <w:pStyle w:val="Estiloparrafos"/>
        <w:bidi w:val="0"/>
        <w:rPr>
          <w:rFonts w:ascii="Calibri" w:hAnsi="Calibri"/>
          <w:sz w:val="22"/>
          <w:szCs w:val="22"/>
        </w:rPr>
      </w:pPr>
      <w:r>
        <w:rPr>
          <w:rFonts w:ascii="Calibri" w:hAnsi="Calibri"/>
          <w:sz w:val="22"/>
          <w:szCs w:val="22"/>
        </w:rPr>
      </w:r>
    </w:p>
    <w:p>
      <w:pPr>
        <w:pStyle w:val="Normal"/>
        <w:rPr>
          <w:rFonts w:ascii="Calibri" w:hAnsi="Calibri"/>
          <w:sz w:val="22"/>
          <w:szCs w:val="22"/>
        </w:rPr>
      </w:pPr>
      <w:r>
        <w:rPr>
          <w:sz w:val="22"/>
          <w:szCs w:val="22"/>
        </w:rPr>
      </w:r>
    </w:p>
    <w:tbl>
      <w:tblPr>
        <w:tblW w:w="10485" w:type="dxa"/>
        <w:jc w:val="left"/>
        <w:tblInd w:w="5" w:type="dxa"/>
        <w:tblCellMar>
          <w:top w:w="0" w:type="dxa"/>
          <w:left w:w="108" w:type="dxa"/>
          <w:bottom w:w="0" w:type="dxa"/>
          <w:right w:w="108" w:type="dxa"/>
        </w:tblCellMar>
      </w:tblPr>
      <w:tblGrid>
        <w:gridCol w:w="10485"/>
      </w:tblGrid>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rFonts w:ascii="Calibri" w:hAnsi="Calibri" w:eastAsia="Calibri"/>
                <w:b/>
                <w:b/>
                <w:kern w:val="0"/>
                <w:sz w:val="22"/>
                <w:szCs w:val="22"/>
                <w:lang w:val="es-ES" w:eastAsia="en-US" w:bidi="ar-SA"/>
              </w:rPr>
            </w:pPr>
            <w:r>
              <w:rPr>
                <w:rFonts w:eastAsia="Calibri"/>
                <w:b/>
                <w:kern w:val="0"/>
                <w:sz w:val="22"/>
                <w:szCs w:val="22"/>
                <w:lang w:val="es-ES" w:eastAsia="en-US" w:bidi="ar-SA"/>
              </w:rPr>
              <w:t>CE.FQ.1</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rFonts w:ascii="Calibri" w:hAnsi="Calibri" w:eastAsia="Calibri"/>
                <w:i/>
                <w:i/>
                <w:kern w:val="0"/>
                <w:sz w:val="22"/>
                <w:szCs w:val="22"/>
                <w:lang w:val="es-ES" w:eastAsia="en-US" w:bidi="ar-SA"/>
              </w:rPr>
            </w:pPr>
            <w:r>
              <w:rPr>
                <w:rFonts w:eastAsia="Calibri"/>
                <w:i/>
                <w:kern w:val="0"/>
                <w:sz w:val="22"/>
                <w:szCs w:val="22"/>
                <w:lang w:val="es-ES" w:eastAsia="en-US" w:bidi="ar-SA"/>
              </w:rPr>
              <w:t>Resolver problemas y situaciones relacionados con la Física y la Química, aplicando las leyes y teorías científicas adecuadas, para comprender y explicar los fenómenos naturales y evidenciar el papel de estas ciencias en la mejora del bienestar común y en la realidad cotidiana.</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1.1. Aplicar las leyes y teorías científicas en el análisis de fenómenos fisicoquímicos cotidianos, comprendiendo las causas que los producen y explicándolas utilizando diversidad de soportes y medios de comunicación.</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rFonts w:ascii="Calibri" w:hAnsi="Calibri" w:eastAsia="Calibri"/>
                <w:b/>
                <w:b/>
                <w:kern w:val="0"/>
                <w:sz w:val="22"/>
                <w:szCs w:val="22"/>
                <w:lang w:val="es-ES" w:eastAsia="en-US" w:bidi="ar-SA"/>
              </w:rPr>
            </w:pPr>
            <w:r>
              <w:rPr>
                <w:rFonts w:eastAsia="Calibri"/>
                <w:b/>
                <w:kern w:val="0"/>
                <w:sz w:val="22"/>
                <w:szCs w:val="22"/>
                <w:lang w:val="es-ES" w:eastAsia="en-US" w:bidi="ar-SA"/>
              </w:rPr>
              <w:t>CE.FQ.2</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rFonts w:ascii="Calibri" w:hAnsi="Calibri" w:eastAsia="Calibri"/>
                <w:i/>
                <w:i/>
                <w:kern w:val="0"/>
                <w:sz w:val="22"/>
                <w:szCs w:val="22"/>
                <w:lang w:val="es-ES" w:eastAsia="en-US" w:bidi="ar-SA"/>
              </w:rPr>
            </w:pPr>
            <w:r>
              <w:rPr>
                <w:rFonts w:eastAsia="Calibri"/>
                <w:i/>
                <w:kern w:val="0"/>
                <w:sz w:val="22"/>
                <w:szCs w:val="22"/>
                <w:lang w:val="es-ES" w:eastAsia="en-US" w:bidi="ar-SA"/>
              </w:rPr>
              <w:t>Razonar, usando el pensamiento científico y las destrezas relacionadas con el trabajo de la ciencia con solvencia, para aplicarlo a la observación de la naturaleza y el entorno, a la formulación de preguntas e hipótesis y a la validación de las mismas a través de la experimentación, la indagación y la búsqueda de evidencias.</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2.1. Formular y verificar hipótesis como respuestas a diferentes problemas y observaciones, manejando con soltura el trabajo experimental, la indagación, la búsqueda de evidencias y el razonamiento lógico-matemático.</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2.2. Utilizar diferentes métodos para encontrar la respuesta a una sola cuestión u observación, cotejando los resultados obtenidos por diferentes métodos, asegurándose así de su coherencia y fiabilidad.</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2.3. Integrar las leyes y teorías científicas conocidas en el desarrollo del procedimiento de la validación de las hipótesis formuladas, aplicando relaciones cualitativas y cuantitativas entre las diferentes variables, de manera que el proceso sea más fiable y coherente con el conocimiento científico adquirido.</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rFonts w:ascii="Calibri" w:hAnsi="Calibri" w:eastAsia="Calibri"/>
                <w:b/>
                <w:b/>
                <w:kern w:val="0"/>
                <w:sz w:val="22"/>
                <w:szCs w:val="22"/>
                <w:lang w:val="es-ES" w:eastAsia="en-US" w:bidi="ar-SA"/>
              </w:rPr>
            </w:pPr>
            <w:r>
              <w:rPr>
                <w:rFonts w:eastAsia="Calibri"/>
                <w:b/>
                <w:kern w:val="0"/>
                <w:sz w:val="22"/>
                <w:szCs w:val="22"/>
                <w:lang w:val="es-ES" w:eastAsia="en-US" w:bidi="ar-SA"/>
              </w:rPr>
              <w:t>CE.FQ.3</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rFonts w:ascii="Calibri" w:hAnsi="Calibri" w:eastAsia="Calibri"/>
                <w:i/>
                <w:i/>
                <w:kern w:val="0"/>
                <w:sz w:val="22"/>
                <w:szCs w:val="22"/>
                <w:lang w:val="es-ES" w:eastAsia="en-US" w:bidi="ar-SA"/>
              </w:rPr>
            </w:pPr>
            <w:r>
              <w:rPr>
                <w:rFonts w:eastAsia="Calibri"/>
                <w:i/>
                <w:kern w:val="0"/>
                <w:sz w:val="22"/>
                <w:szCs w:val="22"/>
                <w:lang w:val="es-ES" w:eastAsia="en-US" w:bidi="ar-SA"/>
              </w:rPr>
              <w:t>Manejar con propiedad y solvencia el flujo de información en los diferentes registros de comunicación de la ciencia como la nomenclatura de compuestos químicos, el uso del lenguaje matemático, el uso correcto de las unidades de medida, la seguridad en el trabajo experimental, para la producción e interpretación de información en diferentes formatos y a partir de fuentes diversas.</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3.2. Nombrar y formular correctamente sustancias simples, iones y compuestos químicos inorgánicos y orgánicos utilizando las normas de la IUPAC, como parte de un lenguaje integrador y universal para toda la comunidad científica.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rFonts w:ascii="Calibri" w:hAnsi="Calibri" w:eastAsia="Calibri"/>
                <w:b/>
                <w:b/>
                <w:kern w:val="0"/>
                <w:sz w:val="22"/>
                <w:szCs w:val="22"/>
                <w:lang w:val="es-ES" w:eastAsia="en-US" w:bidi="ar-SA"/>
              </w:rPr>
            </w:pPr>
            <w:r>
              <w:rPr>
                <w:rFonts w:eastAsia="Calibri"/>
                <w:b/>
                <w:kern w:val="0"/>
                <w:sz w:val="22"/>
                <w:szCs w:val="22"/>
                <w:lang w:val="es-ES" w:eastAsia="en-US" w:bidi="ar-SA"/>
              </w:rPr>
              <w:t>CE.FQ.4</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rFonts w:ascii="Calibri" w:hAnsi="Calibri" w:eastAsia="Calibri"/>
                <w:i/>
                <w:i/>
                <w:kern w:val="0"/>
                <w:sz w:val="22"/>
                <w:szCs w:val="22"/>
                <w:lang w:val="es-ES" w:eastAsia="en-US" w:bidi="ar-SA"/>
              </w:rPr>
            </w:pPr>
            <w:r>
              <w:rPr>
                <w:rFonts w:eastAsia="Calibri"/>
                <w:i/>
                <w:kern w:val="0"/>
                <w:sz w:val="22"/>
                <w:szCs w:val="22"/>
                <w:lang w:val="es-ES" w:eastAsia="en-US" w:bidi="ar-SA"/>
              </w:rPr>
              <w:t>Utilizar de forma autónoma, crítica y eficiente plataformas digitales y recursos variados, tanto para el trabajo individual como en equipo, consultando y seleccionando información científica veraz, creando materiales en diversos formatos y comunicando de manera efectiva en diferentes entornos de aprendizaje, para fomentar la creatividad, el desarrollo personal y el aprendizaje individual y social.</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4.1. Interactuar con otros miembros de la comunidad educativa a través de diferentes entornos de aprendizaje, reales y virtuales, utilizando de forma autónoma y eficiente recursos variados, tradicionales y digitales, de forma rigurosa y respetuosa y analizando críticamente las aportaciones de todo el mundo.</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4.2. Trabajar de forma autónoma y versátil, individualmente y en grupo, en la consulta de información y la creación de contenidos, utilizando con criterio las fuentes y herramientas más fiables, y desechando las menos adecuadas, mejorando así el aprendizaje propio y colectivo.</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rFonts w:ascii="Calibri" w:hAnsi="Calibri" w:eastAsia="Calibri"/>
                <w:b/>
                <w:b/>
                <w:kern w:val="0"/>
                <w:sz w:val="22"/>
                <w:szCs w:val="22"/>
                <w:lang w:val="es-ES" w:eastAsia="en-US" w:bidi="ar-SA"/>
              </w:rPr>
            </w:pPr>
            <w:r>
              <w:rPr>
                <w:rFonts w:eastAsia="Calibri"/>
                <w:b/>
                <w:kern w:val="0"/>
                <w:sz w:val="22"/>
                <w:szCs w:val="22"/>
                <w:lang w:val="es-ES" w:eastAsia="en-US" w:bidi="ar-SA"/>
              </w:rPr>
              <w:t>CE.FQ.5</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rFonts w:ascii="Calibri" w:hAnsi="Calibri" w:eastAsia="Calibri"/>
                <w:i/>
                <w:i/>
                <w:kern w:val="0"/>
                <w:sz w:val="22"/>
                <w:szCs w:val="22"/>
                <w:lang w:val="es-ES" w:eastAsia="en-US" w:bidi="ar-SA"/>
              </w:rPr>
            </w:pPr>
            <w:r>
              <w:rPr>
                <w:rFonts w:eastAsia="Calibri"/>
                <w:i/>
                <w:kern w:val="0"/>
                <w:sz w:val="22"/>
                <w:szCs w:val="22"/>
                <w:lang w:val="es-ES" w:eastAsia="en-US" w:bidi="ar-SA"/>
              </w:rPr>
              <w:t>Trabajar de forma colaborativa en equipos diversos, aplicando habilidades de coordinación, comunicación, emprendimiento y reparto equilibrado de responsabilidades, para predecir las consecuencias de los avances científicos y su influencia sobre la salud propia y comunitaria y sobre el desarrollo medioambiental sostenible.</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5.1. Participar de manera activa en la construcción del conocimiento científico, evidenciando la presencia de la interacción, la cooperación y la evaluación entre iguales, mejorando la capacidad de cuestionamiento, la reflexión y el debate al alcanzar el consenso en la resolución de un problema o situación de aprendizaje.</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5.2. Construir y producir conocimientos a través del trabajo colectivo, además de explorar alternativas para superar la asimilación de conocimientos ya elaborados y encontrando momentos para el análisis, la discusión y la síntesis, obteniendo como resultado la elaboración de productos representados en informes, pósteres, presentaciones, artículos, etc.</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5.3. Debatir, de forma informada y argumentada, sobre las diferentes cuestiones medioambientales, sociales y éticas relacionadas con el desarrollo de las ciencias, alcanzando un consenso sobre las consecuencias de estos avances y proponiendo soluciones creativas en común a las cuestiones planteadas.</w:t>
            </w:r>
          </w:p>
        </w:tc>
      </w:tr>
      <w:tr>
        <w:trPr/>
        <w:tc>
          <w:tcPr>
            <w:tcW w:w="10485"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spacing w:lineRule="auto" w:line="240" w:before="0" w:after="0"/>
              <w:jc w:val="center"/>
              <w:rPr>
                <w:rFonts w:ascii="Calibri" w:hAnsi="Calibri" w:eastAsia="Calibri"/>
                <w:b/>
                <w:b/>
                <w:kern w:val="0"/>
                <w:sz w:val="22"/>
                <w:szCs w:val="22"/>
                <w:lang w:val="es-ES" w:eastAsia="en-US" w:bidi="ar-SA"/>
              </w:rPr>
            </w:pPr>
            <w:r>
              <w:rPr>
                <w:rFonts w:eastAsia="Calibri"/>
                <w:b/>
                <w:kern w:val="0"/>
                <w:sz w:val="22"/>
                <w:szCs w:val="22"/>
                <w:lang w:val="es-ES" w:eastAsia="en-US" w:bidi="ar-SA"/>
              </w:rPr>
              <w:t>CE.FQ.6</w:t>
            </w:r>
          </w:p>
        </w:tc>
      </w:tr>
      <w:tr>
        <w:trPr/>
        <w:tc>
          <w:tcPr>
            <w:tcW w:w="10485" w:type="dxa"/>
            <w:tcBorders>
              <w:top w:val="single" w:sz="4" w:space="0" w:color="000000"/>
              <w:left w:val="single" w:sz="4" w:space="0" w:color="000000"/>
              <w:bottom w:val="single" w:sz="4" w:space="0" w:color="000000"/>
              <w:right w:val="single" w:sz="4" w:space="0" w:color="000000"/>
            </w:tcBorders>
            <w:shd w:fill="DEEAF6" w:val="clear"/>
          </w:tcPr>
          <w:p>
            <w:pPr>
              <w:pStyle w:val="Normal"/>
              <w:widowControl/>
              <w:spacing w:lineRule="auto" w:line="240" w:before="0" w:after="0"/>
              <w:rPr>
                <w:rFonts w:ascii="Calibri" w:hAnsi="Calibri" w:eastAsia="Calibri"/>
                <w:i/>
                <w:i/>
                <w:kern w:val="0"/>
                <w:sz w:val="22"/>
                <w:szCs w:val="22"/>
                <w:lang w:val="es-ES" w:eastAsia="en-US" w:bidi="ar-SA"/>
              </w:rPr>
            </w:pPr>
            <w:r>
              <w:rPr>
                <w:rFonts w:eastAsia="Calibri"/>
                <w:i/>
                <w:kern w:val="0"/>
                <w:sz w:val="22"/>
                <w:szCs w:val="22"/>
                <w:lang w:val="es-ES" w:eastAsia="en-US" w:bidi="ar-SA"/>
              </w:rPr>
              <w:t>Participar de forma activa en la construcción colectiva y evolutiva del conocimiento científico, en su entorno cotidiano y cercano, para convertirse en agentes activos de la difusión del pensamiento científico, la aproximación escéptica a la información científica y tecnológica y la puesta en valor de la preservación del medioambiente y la salud pública, el desarrollo económico y la búsqueda de una sociedad igualitaria.</w:t>
            </w:r>
          </w:p>
        </w:tc>
      </w:tr>
      <w:tr>
        <w:trPr/>
        <w:tc>
          <w:tcPr>
            <w:tcW w:w="10485" w:type="dxa"/>
            <w:tcBorders>
              <w:top w:val="single" w:sz="4" w:space="0" w:color="000000"/>
              <w:left w:val="single" w:sz="4" w:space="0" w:color="000000"/>
              <w:bottom w:val="single" w:sz="4" w:space="0" w:color="000000"/>
              <w:right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6.1. Identificar y argumentar científicamente las repercusiones de las acciones que el alumno o la alumna acometen en su vida cotidiana, analizando cómo mejorarlas como forma de participar activamente en la construcción de una sociedad mejor.</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6.2. Detectar las necesidades de la sociedad sobre las que aplicar los conocimientos científicos adecuados que ayuden a mejorarla, incidiendo especialmente en aspectos importantes como el desarrollo sostenible y la preservación de la salud.</w:t>
            </w:r>
          </w:p>
        </w:tc>
      </w:tr>
    </w:tbl>
    <w:p>
      <w:pPr>
        <w:pStyle w:val="Ttulo1"/>
        <w:ind w:left="0" w:right="0" w:hanging="0"/>
        <w:jc w:val="both"/>
        <w:rPr>
          <w:rFonts w:ascii="Cambria" w:hAnsi="Cambria" w:eastAsia="Cambria" w:cs="Cambria"/>
        </w:rPr>
      </w:pPr>
      <w:r>
        <w:rPr>
          <w:rFonts w:eastAsia="Cambria" w:cs="Cambria" w:ascii="Cambria" w:hAnsi="Cambria"/>
        </w:rPr>
      </w:r>
    </w:p>
    <w:p>
      <w:pPr>
        <w:pStyle w:val="Normal"/>
        <w:jc w:val="both"/>
        <w:rPr/>
      </w:pPr>
      <w:r>
        <w:rPr>
          <w:rFonts w:eastAsia="Cambria" w:cs="Cambria" w:ascii="Cambria" w:hAnsi="Cambria"/>
          <w:b/>
          <w:u w:val="single"/>
        </w:rPr>
        <w:t>2. CONCRECIÓN, AGRUPAMIENTO Y SECUENCIACIÓN DE LOS SABERES BÁSICOS Y DE LOS CRITERIOS DE EVALUACIÓN EN UNIDADES DIDÁCTICAS</w:t>
      </w:r>
    </w:p>
    <w:p>
      <w:pPr>
        <w:pStyle w:val="Normal"/>
        <w:jc w:val="both"/>
        <w:rPr>
          <w:rFonts w:ascii="Calibri" w:hAnsi="Calibri"/>
          <w:sz w:val="22"/>
          <w:szCs w:val="22"/>
        </w:rPr>
      </w:pPr>
      <w:r>
        <w:rPr>
          <w:sz w:val="22"/>
          <w:szCs w:val="22"/>
        </w:rPr>
      </w:r>
    </w:p>
    <w:p>
      <w:pPr>
        <w:pStyle w:val="Estiloparrafos"/>
        <w:bidi w:val="0"/>
        <w:rPr>
          <w:rFonts w:ascii="Calibri" w:hAnsi="Calibri"/>
          <w:sz w:val="22"/>
          <w:szCs w:val="22"/>
        </w:rPr>
      </w:pPr>
      <w:r>
        <w:rPr>
          <w:rFonts w:ascii="Calibri" w:hAnsi="Calibri"/>
          <w:sz w:val="22"/>
          <w:szCs w:val="22"/>
        </w:rPr>
        <w:t xml:space="preserve">En la tabla siguiente se indican los saberes básicos mediante la relación entre su concreción y los conocimientos, destrezas y actitudes asociados a cada uno de ellos. </w:t>
      </w:r>
    </w:p>
    <w:p>
      <w:pPr>
        <w:pStyle w:val="Estiloparrafos"/>
        <w:bidi w:val="0"/>
        <w:rPr>
          <w:rFonts w:ascii="Calibri" w:hAnsi="Calibri"/>
          <w:sz w:val="22"/>
          <w:szCs w:val="22"/>
        </w:rPr>
      </w:pPr>
      <w:r>
        <w:rPr>
          <w:rFonts w:ascii="Calibri" w:hAnsi="Calibri"/>
          <w:sz w:val="22"/>
          <w:szCs w:val="22"/>
        </w:rPr>
      </w:r>
    </w:p>
    <w:tbl>
      <w:tblPr>
        <w:tblW w:w="9645" w:type="dxa"/>
        <w:jc w:val="left"/>
        <w:tblInd w:w="0" w:type="dxa"/>
        <w:tblCellMar>
          <w:top w:w="55" w:type="dxa"/>
          <w:left w:w="55" w:type="dxa"/>
          <w:bottom w:w="55" w:type="dxa"/>
          <w:right w:w="55" w:type="dxa"/>
        </w:tblCellMar>
      </w:tblPr>
      <w:tblGrid>
        <w:gridCol w:w="3912"/>
        <w:gridCol w:w="5732"/>
      </w:tblGrid>
      <w:tr>
        <w:trPr/>
        <w:tc>
          <w:tcPr>
            <w:tcW w:w="3912" w:type="dxa"/>
            <w:tcBorders>
              <w:top w:val="single" w:sz="4" w:space="0" w:color="000000"/>
              <w:left w:val="single" w:sz="4" w:space="0" w:color="000000"/>
              <w:bottom w:val="single" w:sz="4" w:space="0" w:color="000000"/>
            </w:tcBorders>
            <w:shd w:fill="729FCF" w:val="clear"/>
          </w:tcPr>
          <w:p>
            <w:pPr>
              <w:pStyle w:val="Normal"/>
              <w:widowControl/>
              <w:spacing w:lineRule="auto" w:line="240" w:before="0" w:after="0"/>
              <w:jc w:val="center"/>
              <w:rPr>
                <w:rFonts w:ascii="Calibri" w:hAnsi="Calibri" w:eastAsia="Calibri"/>
                <w:b/>
                <w:b/>
                <w:bCs/>
                <w:kern w:val="0"/>
                <w:sz w:val="22"/>
                <w:szCs w:val="22"/>
                <w:lang w:val="es-ES" w:eastAsia="en-US" w:bidi="ar-SA"/>
              </w:rPr>
            </w:pPr>
            <w:r>
              <w:rPr>
                <w:rFonts w:eastAsia="Calibri"/>
                <w:b/>
                <w:bCs/>
                <w:kern w:val="0"/>
                <w:sz w:val="22"/>
                <w:szCs w:val="22"/>
                <w:lang w:val="es-ES" w:eastAsia="en-US" w:bidi="ar-SA"/>
              </w:rPr>
              <w:t>Concreción de los saberes básicos</w:t>
            </w:r>
          </w:p>
        </w:tc>
        <w:tc>
          <w:tcPr>
            <w:tcW w:w="5732" w:type="dxa"/>
            <w:tcBorders>
              <w:top w:val="single" w:sz="4" w:space="0" w:color="000000"/>
              <w:left w:val="single" w:sz="4" w:space="0" w:color="000000"/>
              <w:bottom w:val="single" w:sz="4" w:space="0" w:color="000000"/>
              <w:right w:val="single" w:sz="4" w:space="0" w:color="000000"/>
            </w:tcBorders>
            <w:shd w:fill="729FCF" w:val="clear"/>
          </w:tcPr>
          <w:p>
            <w:pPr>
              <w:pStyle w:val="DC1"/>
              <w:widowControl/>
              <w:numPr>
                <w:ilvl w:val="0"/>
                <w:numId w:val="0"/>
              </w:numPr>
              <w:spacing w:before="0" w:after="0"/>
              <w:ind w:left="720" w:right="0" w:hanging="0"/>
              <w:jc w:val="center"/>
              <w:rPr>
                <w:rFonts w:ascii="Calibri" w:hAnsi="Calibri" w:eastAsia="Calibri"/>
                <w:b/>
                <w:b/>
                <w:bCs/>
                <w:kern w:val="0"/>
                <w:sz w:val="22"/>
                <w:szCs w:val="22"/>
                <w:lang w:val="es-ES" w:eastAsia="en-US" w:bidi="ar-SA"/>
              </w:rPr>
            </w:pPr>
            <w:r>
              <w:rPr>
                <w:rFonts w:eastAsia="Calibri"/>
                <w:b/>
                <w:bCs/>
                <w:kern w:val="0"/>
                <w:sz w:val="22"/>
                <w:szCs w:val="22"/>
                <w:lang w:val="es-ES" w:eastAsia="en-US" w:bidi="ar-SA"/>
              </w:rPr>
              <w:t>Conocimientos, destrezas y actitudes</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rFonts w:ascii="Calibri" w:hAnsi="Calibri" w:eastAsia="Calibri"/>
                <w:b/>
                <w:b/>
                <w:kern w:val="0"/>
                <w:sz w:val="22"/>
                <w:szCs w:val="22"/>
                <w:lang w:val="es-ES" w:eastAsia="en-US" w:bidi="ar-SA"/>
              </w:rPr>
            </w:pPr>
            <w:r>
              <w:rPr>
                <w:rFonts w:eastAsia="Calibri"/>
                <w:b/>
                <w:kern w:val="0"/>
                <w:sz w:val="22"/>
                <w:szCs w:val="22"/>
                <w:lang w:val="es-ES" w:eastAsia="en-US" w:bidi="ar-SA"/>
              </w:rPr>
              <w:t>A. Enlace químico y estructura de la materia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Desarrollo de la tabla periódica: contribuciones históricas a su elaboración actual e importancia como herramienta predictiva de las propiedades de los elementos.</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Estructura electrónica de los átomos tras el análisis de su interacción con la radiación electromagnética: explicación de la posición de un elemento en la tabla periódica y de la similitud en las propiedades de los elementos químicos de cada grupo.</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Teorías sobre la estabilidad de los átomos e iones: predicción de la formación de enlaces entre los elementos, representación de estos y deducción de cuáles son las propiedades de las sustancias Químicas. Comprobación a través de la observación y la experimentación.</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Nomenclatura de sustancias simples, iones y compuestos químicos inorgánicos: composición y las aplicaciones que tienen en la vida cotidiana.</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rFonts w:ascii="Calibri" w:hAnsi="Calibri" w:eastAsia="Calibri"/>
                <w:b/>
                <w:b/>
                <w:kern w:val="0"/>
                <w:sz w:val="22"/>
                <w:szCs w:val="22"/>
                <w:lang w:val="es-ES" w:eastAsia="en-US" w:bidi="ar-SA"/>
              </w:rPr>
            </w:pPr>
            <w:r>
              <w:rPr>
                <w:rFonts w:eastAsia="Calibri"/>
                <w:b/>
                <w:kern w:val="0"/>
                <w:sz w:val="22"/>
                <w:szCs w:val="22"/>
                <w:lang w:val="es-ES" w:eastAsia="en-US" w:bidi="ar-SA"/>
              </w:rPr>
              <w:t>B. Reacciones Químicas</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Leyes fundamentales de la Química: relaciones estequiométricas en las reacciones Químicas y en la composición de los compuestos. Resolución de cuestiones cuantitativas relacionadas con la Química en la vida cotidiana.</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Clasificación de las reacciones Químicas: relaciones que existen entre la Química y aspectos importantes de la sociedad actual como, por ejemplo, la conservación del medioambiente o el desarrollo de fármacos.</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Cálculo de cantidades de materia en sistemas fisicoquímicos concretos, como gases ideales o disoluciones y sus propiedades: variables mesurables propias del estado de los mismos en situaciones de la vida cotidiana.</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Estequiometría de las reacciones Químicas: aplicaciones en los procesos industriales más significativos de la ingeniería Química.</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rFonts w:ascii="Calibri" w:hAnsi="Calibri" w:eastAsia="Calibri"/>
                <w:b/>
                <w:b/>
                <w:kern w:val="0"/>
                <w:sz w:val="22"/>
                <w:szCs w:val="22"/>
                <w:lang w:val="es-ES" w:eastAsia="en-US" w:bidi="ar-SA"/>
              </w:rPr>
            </w:pPr>
            <w:r>
              <w:rPr>
                <w:rFonts w:eastAsia="Calibri"/>
                <w:b/>
                <w:kern w:val="0"/>
                <w:sz w:val="22"/>
                <w:szCs w:val="22"/>
                <w:lang w:val="es-ES" w:eastAsia="en-US" w:bidi="ar-SA"/>
              </w:rPr>
              <w:t>C. Química orgánica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Propiedades físicas y químicas generales de los compuestos orgánicos a partir de las estructuras químicas de sus grupos funcionales: generalidades en las diferentes series homólogas y aplicaciones en el mundo real.</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Reglas de la IUPAC para formular y nombrar correctamente algunos compuestos orgánicos mono- y polifuncionales (hidrocarburos, compuestos oxigenados y compuestos nitrogenados).</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Isomería. Fórmulas moleculares y desarrolladas de compuestos orgánicos. Diferentes tipos de isomería estructural. Modelos moleculares o técnicas de representación 3D de moléculas. Isómeros espaciales de un compuesto y sus propiedades.</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Reactividad orgánica. Principales propiedades químicas de las distintas funciones orgánicas. Comportamiento en disolución o en reacciones químicas. Principales tipos de reacciones orgánicas. Productos de la reacción entre compuestos orgánicos y las correspondientes ecuaciones químicas.</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Polímeros. Proceso de formación de los polímeros a partir de sus correspondientes monómeros. Estructura y propiedades. Clasificación de los polímeros según su naturaleza, estructura y composición. Aplicaciones, propiedades y riesgos medioambientales asociados.</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rFonts w:ascii="Calibri" w:hAnsi="Calibri" w:eastAsia="Calibri"/>
                <w:b/>
                <w:b/>
                <w:kern w:val="0"/>
                <w:sz w:val="22"/>
                <w:szCs w:val="22"/>
                <w:lang w:val="es-ES" w:eastAsia="en-US" w:bidi="ar-SA"/>
              </w:rPr>
            </w:pPr>
            <w:r>
              <w:rPr>
                <w:rFonts w:eastAsia="Calibri"/>
                <w:b/>
                <w:kern w:val="0"/>
                <w:sz w:val="22"/>
                <w:szCs w:val="22"/>
                <w:lang w:val="es-ES" w:eastAsia="en-US" w:bidi="ar-SA"/>
              </w:rPr>
              <w:t>D. Cinemática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Variables cinemáticas en función del tiempo en los distintos movimientos que puede tener un objeto, con o sin fuerzas externas: resolución de situaciones reales relacionadas con la Física y el entorno cotidiano.</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Variables que influyen en un movimiento rectilíneo y circular: magnitudes y unidades empleadas. Movimientos cotidianos que presentan estos tipos de trayectoria.</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Relación de la trayectoria de un movimiento compuesto con las magnitudes que lo describen.</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rFonts w:ascii="Calibri" w:hAnsi="Calibri" w:eastAsia="Calibri"/>
                <w:b/>
                <w:b/>
                <w:kern w:val="0"/>
                <w:sz w:val="22"/>
                <w:szCs w:val="22"/>
                <w:lang w:val="es-ES" w:eastAsia="en-US" w:bidi="ar-SA"/>
              </w:rPr>
            </w:pPr>
            <w:r>
              <w:rPr>
                <w:rFonts w:eastAsia="Calibri"/>
                <w:b/>
                <w:kern w:val="0"/>
                <w:sz w:val="22"/>
                <w:szCs w:val="22"/>
                <w:lang w:val="es-ES" w:eastAsia="en-US" w:bidi="ar-SA"/>
              </w:rPr>
              <w:t>E. Estática y dinámica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Predicción, a partir de la composición vectorial, del comportamiento estático o dinámico de una partícula o un sólido rígido.</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Relación de la mecánica vectorial aplicada sobre una partícula o un sólido rígido con su estado de reposo o de movimiento: aplicaciones estáticas o dinámicas de la Física en otros campos, como la ingeniería o el deporte.</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Interpretación de las leyes de la Dinámica en términos de magnitudes como la cantidad de movimiento y el impulso mecánico: aplicaciones en el mundo real.</w:t>
            </w:r>
          </w:p>
        </w:tc>
      </w:tr>
      <w:tr>
        <w:trPr/>
        <w:tc>
          <w:tcPr>
            <w:tcW w:w="3912" w:type="dxa"/>
            <w:tcBorders>
              <w:left w:val="single" w:sz="4" w:space="0" w:color="000000"/>
              <w:bottom w:val="single" w:sz="4" w:space="0" w:color="000000"/>
            </w:tcBorders>
            <w:shd w:fill="B4C7DC" w:val="clear"/>
          </w:tcPr>
          <w:p>
            <w:pPr>
              <w:pStyle w:val="Normal"/>
              <w:widowControl/>
              <w:spacing w:lineRule="auto" w:line="240" w:before="0" w:after="0"/>
              <w:jc w:val="both"/>
              <w:rPr>
                <w:rFonts w:ascii="Calibri" w:hAnsi="Calibri" w:eastAsia="Calibri"/>
                <w:b/>
                <w:b/>
                <w:kern w:val="0"/>
                <w:sz w:val="22"/>
                <w:szCs w:val="22"/>
                <w:lang w:val="es-ES" w:eastAsia="en-US" w:bidi="ar-SA"/>
              </w:rPr>
            </w:pPr>
            <w:r>
              <w:rPr>
                <w:rFonts w:eastAsia="Calibri"/>
                <w:b/>
                <w:kern w:val="0"/>
                <w:sz w:val="22"/>
                <w:szCs w:val="22"/>
                <w:lang w:val="es-ES" w:eastAsia="en-US" w:bidi="ar-SA"/>
              </w:rPr>
              <w:t>F. Energía</w:t>
            </w:r>
          </w:p>
        </w:tc>
        <w:tc>
          <w:tcPr>
            <w:tcW w:w="5732" w:type="dxa"/>
            <w:tcBorders>
              <w:left w:val="single" w:sz="4" w:space="0" w:color="000000"/>
              <w:bottom w:val="single" w:sz="4" w:space="0" w:color="000000"/>
              <w:right w:val="single" w:sz="4" w:space="0" w:color="000000"/>
            </w:tcBorders>
            <w:shd w:fill="auto" w:val="clear"/>
          </w:tcPr>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Conceptos de trabajo y potencia: elaboración de hipótesis sobre el consumo energético de sistemas mecánicos o eléctricos del entorno cotidiano y su rendimiento.</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Energía potencial y energía cinética de un sistema sencillo: aplicación a la conservación de la energía mecánica en sistemas conservativos y no conservativos y al estudio de las causas que producen el movimiento de los objetos en el mundo real.</w:t>
            </w:r>
          </w:p>
          <w:p>
            <w:pPr>
              <w:pStyle w:val="DC1"/>
              <w:widowControl/>
              <w:numPr>
                <w:ilvl w:val="0"/>
                <w:numId w:val="1"/>
              </w:numPr>
              <w:spacing w:before="0" w:after="0"/>
              <w:ind w:left="0" w:right="0" w:hanging="0"/>
              <w:jc w:val="both"/>
              <w:rPr>
                <w:rFonts w:ascii="Calibri" w:hAnsi="Calibri" w:eastAsia="Calibri"/>
                <w:kern w:val="0"/>
                <w:sz w:val="22"/>
                <w:szCs w:val="22"/>
                <w:lang w:val="es-ES" w:eastAsia="en-US" w:bidi="ar-SA"/>
              </w:rPr>
            </w:pPr>
            <w:r>
              <w:rPr>
                <w:rFonts w:eastAsia="Calibri"/>
                <w:kern w:val="0"/>
                <w:sz w:val="22"/>
                <w:szCs w:val="22"/>
                <w:lang w:val="es-ES" w:eastAsia="en-US" w:bidi="ar-SA"/>
              </w:rPr>
              <w:t>Variables termodinámicas de un sistema en función de las condiciones: determinación de las variaciones de temperatura que experimenta y las transferencias de energía que se producen con su entorno.</w:t>
            </w:r>
          </w:p>
        </w:tc>
      </w:tr>
    </w:tbl>
    <w:p>
      <w:pPr>
        <w:pStyle w:val="Estiloparrafos"/>
        <w:bidi w:val="0"/>
        <w:rPr>
          <w:rFonts w:ascii="Calibri" w:hAnsi="Calibri"/>
          <w:sz w:val="22"/>
          <w:szCs w:val="22"/>
        </w:rPr>
      </w:pPr>
      <w:r>
        <w:rPr>
          <w:rFonts w:ascii="Calibri" w:hAnsi="Calibri"/>
          <w:sz w:val="22"/>
          <w:szCs w:val="22"/>
        </w:rPr>
      </w:r>
    </w:p>
    <w:p>
      <w:pPr>
        <w:pStyle w:val="Estiloparrafos"/>
        <w:bidi w:val="0"/>
        <w:rPr>
          <w:rFonts w:ascii="Calibri" w:hAnsi="Calibri"/>
          <w:b/>
          <w:b/>
          <w:bCs/>
          <w:sz w:val="22"/>
          <w:szCs w:val="22"/>
          <w:u w:val="single"/>
        </w:rPr>
      </w:pPr>
      <w:r>
        <w:rPr>
          <w:rFonts w:ascii="Calibri" w:hAnsi="Calibri"/>
          <w:b/>
          <w:bCs/>
          <w:sz w:val="22"/>
          <w:szCs w:val="22"/>
          <w:u w:val="single"/>
        </w:rPr>
        <w:t xml:space="preserve">Unidades Didácticas: </w:t>
      </w:r>
    </w:p>
    <w:p>
      <w:pPr>
        <w:pStyle w:val="Estiloparrafos"/>
        <w:bidi w:val="0"/>
        <w:rPr>
          <w:rFonts w:ascii="Calibri" w:hAnsi="Calibri"/>
          <w:sz w:val="22"/>
          <w:szCs w:val="22"/>
        </w:rPr>
      </w:pPr>
      <w:r>
        <w:rPr>
          <w:rFonts w:ascii="Calibri" w:hAnsi="Calibri"/>
          <w:sz w:val="22"/>
          <w:szCs w:val="22"/>
        </w:rPr>
      </w:r>
    </w:p>
    <w:p>
      <w:pPr>
        <w:pStyle w:val="Normal"/>
        <w:jc w:val="both"/>
        <w:rPr>
          <w:rFonts w:ascii="Calibri" w:hAnsi="Calibri"/>
          <w:sz w:val="22"/>
          <w:szCs w:val="22"/>
        </w:rPr>
      </w:pPr>
      <w:r>
        <w:rPr>
          <w:color w:val="232020"/>
          <w:sz w:val="22"/>
          <w:szCs w:val="22"/>
        </w:rPr>
        <w:t>Seguidamente se desglosan las unidades didácticas. Para calcular el número aproximado de sesiones, se ha tiene en cuenta lo siguiente:</w:t>
      </w:r>
    </w:p>
    <w:p>
      <w:pPr>
        <w:pStyle w:val="Normal"/>
        <w:jc w:val="both"/>
        <w:rPr>
          <w:rFonts w:ascii="Calibri" w:hAnsi="Calibri"/>
          <w:color w:val="232020"/>
          <w:sz w:val="22"/>
          <w:szCs w:val="22"/>
        </w:rPr>
      </w:pPr>
      <w:r>
        <w:rPr>
          <w:color w:val="232020"/>
          <w:sz w:val="22"/>
          <w:szCs w:val="22"/>
        </w:rPr>
        <w:t>- l</w:t>
      </w:r>
      <w:r>
        <w:rPr>
          <w:color w:val="000000"/>
          <w:sz w:val="22"/>
          <w:szCs w:val="22"/>
        </w:rPr>
        <w:t>a asignatura tiene asignadas cuatro horas semanales, lo que supone unas 135 horas anuales aproximadamente.</w:t>
      </w:r>
    </w:p>
    <w:p>
      <w:pPr>
        <w:pStyle w:val="Normal"/>
        <w:jc w:val="both"/>
        <w:rPr/>
      </w:pPr>
      <w:r>
        <w:rPr>
          <w:color w:val="000000"/>
          <w:sz w:val="22"/>
          <w:szCs w:val="22"/>
        </w:rPr>
        <w:t xml:space="preserve">- Se </w:t>
      </w:r>
      <w:r>
        <w:rPr>
          <w:color w:val="000000"/>
          <w:sz w:val="22"/>
          <w:szCs w:val="22"/>
        </w:rPr>
        <w:t xml:space="preserve">intentara realizar al menos dos pruebas escritas por trimestre </w:t>
      </w:r>
    </w:p>
    <w:p>
      <w:pPr>
        <w:pStyle w:val="Normal"/>
        <w:jc w:val="both"/>
        <w:rPr/>
      </w:pPr>
      <w:r>
        <w:rPr>
          <w:color w:val="000000"/>
          <w:sz w:val="22"/>
          <w:szCs w:val="22"/>
        </w:rPr>
        <w:t xml:space="preserve">- Se </w:t>
      </w:r>
      <w:r>
        <w:rPr>
          <w:color w:val="000000"/>
          <w:sz w:val="22"/>
          <w:szCs w:val="22"/>
        </w:rPr>
        <w:t xml:space="preserve">intentara realizar una practica por trimestre </w:t>
      </w:r>
    </w:p>
    <w:p>
      <w:pPr>
        <w:pStyle w:val="Estiloparrafos"/>
        <w:bidi w:val="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La estructura de la materia</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de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Septiembre-octubre</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8</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sz w:val="22"/>
                <w:szCs w:val="22"/>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Normal"/>
              <w:widowControl/>
              <w:spacing w:lineRule="auto" w:line="240" w:before="0" w:after="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b/>
                <w:bCs/>
                <w:i w:val="false"/>
                <w:iCs w:val="false"/>
                <w:strike w:val="false"/>
                <w:dstrike w:val="false"/>
                <w:outline w:val="false"/>
                <w:shadow w:val="false"/>
                <w:color w:val="000000"/>
                <w:kern w:val="0"/>
                <w:sz w:val="22"/>
                <w:szCs w:val="22"/>
                <w:u w:val="none"/>
                <w:lang w:val="es-ES" w:eastAsia="en-US" w:bidi="ar-SA"/>
              </w:rPr>
              <w:t>CE.FQ.1</w:t>
            </w:r>
          </w:p>
          <w:p>
            <w:pPr>
              <w:pStyle w:val="Estiloparrafos"/>
              <w:widowControl/>
              <w:bidi w:val="0"/>
              <w:spacing w:lineRule="auto" w:line="240"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b/>
                <w:b/>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p>
            <w:pPr>
              <w:pStyle w:val="Normal"/>
              <w:widowControl/>
              <w:spacing w:lineRule="auto" w:line="240" w:before="0" w:after="0"/>
              <w:jc w:val="left"/>
              <w:rPr>
                <w:rFonts w:ascii="Calibri" w:hAnsi="Calibri" w:eastAsia="Calibri"/>
                <w:b/>
                <w:b/>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bCs w:val="false"/>
                <w:i w:val="false"/>
                <w:iCs w:val="false"/>
                <w:strike w:val="false"/>
                <w:dstrike w:val="false"/>
                <w:outline w:val="false"/>
                <w:shadow w:val="false"/>
                <w:color w:val="000000"/>
                <w:kern w:val="0"/>
                <w:sz w:val="22"/>
                <w:szCs w:val="22"/>
                <w:u w:val="none"/>
                <w:lang w:val="es-ES" w:eastAsia="en-US" w:bidi="ar-SA"/>
              </w:rPr>
            </w:r>
          </w:p>
          <w:p>
            <w:pPr>
              <w:pStyle w:val="Normal"/>
              <w:widowControl/>
              <w:spacing w:lineRule="auto" w:line="240" w:before="0" w:after="0"/>
              <w:jc w:val="left"/>
              <w:rPr>
                <w:rFonts w:ascii="Calibri" w:hAnsi="Calibri" w:eastAsia="Calibri"/>
                <w:b/>
                <w:b/>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bCs w:val="false"/>
                <w:i w:val="false"/>
                <w:iCs w:val="false"/>
                <w:strike w:val="false"/>
                <w:dstrike w:val="false"/>
                <w:outline w:val="false"/>
                <w:shadow w:val="false"/>
                <w:color w:val="000000"/>
                <w:kern w:val="0"/>
                <w:sz w:val="22"/>
                <w:szCs w:val="22"/>
                <w:u w:val="none"/>
                <w:lang w:val="es-ES" w:eastAsia="en-US" w:bidi="ar-SA"/>
              </w:rPr>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Prácticas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1:</w:t>
            </w:r>
          </w:p>
          <w:p>
            <w:pPr>
              <w:pStyle w:val="Estiloparrafos"/>
              <w:bidi w:val="0"/>
              <w:spacing w:before="360" w:after="120"/>
              <w:ind w:left="397" w:right="0" w:hanging="0"/>
              <w:jc w:val="both"/>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 </w:t>
            </w:r>
            <w:r>
              <w:rPr>
                <w:rFonts w:ascii="Calibri" w:hAnsi="Calibri"/>
                <w:b/>
                <w:bCs/>
                <w:i w:val="false"/>
                <w:iCs w:val="false"/>
                <w:strike w:val="false"/>
                <w:dstrike w:val="false"/>
                <w:outline w:val="false"/>
                <w:shadow w:val="false"/>
                <w:color w:val="000000"/>
                <w:sz w:val="22"/>
                <w:szCs w:val="22"/>
                <w:u w:val="none"/>
              </w:rPr>
              <w:t>LA ESTRUCTURA DE LA MATERIA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rPr>
            </w:pPr>
            <w:r>
              <w:rPr>
                <w:rFonts w:ascii="Calibri" w:hAnsi="Calibri"/>
                <w:sz w:val="22"/>
                <w:szCs w:val="22"/>
                <w:lang w:val="es-ES"/>
              </w:rPr>
              <w:t>E</w:t>
            </w:r>
            <w:r>
              <w:rPr>
                <w:rFonts w:eastAsia="Verdana" w:cs="Verdana" w:ascii="Calibri" w:hAnsi="Calibri"/>
                <w:sz w:val="22"/>
                <w:szCs w:val="22"/>
                <w:lang w:val="es-ES"/>
              </w:rPr>
              <w:t>l átomo: conceptos fundamentales, formación de iones.</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 xml:space="preserve">Modelos atómicos: primeros modelos atómicos, inconvenientes del modelo de Rutherford, Modelo de Bohr, modelo mecanocuántico del átomo, números cuánticos y orbitales atómicos. </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Configuración electrónica: tabla periódica, configuración de iones, estado fundamental y estado excitado.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Historia de clasificación periódica de los elementos químicos.</w:t>
            </w:r>
          </w:p>
          <w:p>
            <w:pPr>
              <w:pStyle w:val="Estiloparrafos"/>
              <w:numPr>
                <w:ilvl w:val="0"/>
                <w:numId w:val="2"/>
              </w:numPr>
              <w:bidi w:val="0"/>
              <w:spacing w:before="0" w:after="60"/>
              <w:ind w:left="284" w:right="0" w:hanging="142"/>
              <w:rPr>
                <w:rFonts w:ascii="Calibri" w:hAnsi="Calibri"/>
                <w:sz w:val="22"/>
                <w:szCs w:val="22"/>
              </w:rPr>
            </w:pPr>
            <w:r>
              <w:rPr>
                <w:rFonts w:ascii="Calibri" w:hAnsi="Calibri"/>
                <w:sz w:val="22"/>
                <w:szCs w:val="22"/>
              </w:rPr>
              <w:t xml:space="preserve">Propiedades periódicas: radio atómico, energía de ionización, afinidad electrónica, electronegatividad, carácter metálico. </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 ejercicios de reflexión, problemas 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b/>
          <w:b/>
          <w:kern w:val="0"/>
          <w:sz w:val="22"/>
          <w:szCs w:val="22"/>
          <w:u w:val="none"/>
          <w:lang w:val="es-ES" w:eastAsia="en-US" w:bidi="ar-SA"/>
        </w:rPr>
      </w:pPr>
      <w:r>
        <w:rPr>
          <w:rFonts w:eastAsia="Calibri" w:ascii="Calibri" w:hAnsi="Calibri"/>
          <w:b/>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TÍTULO: Enlace químico </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Octubre</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6</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jc w:val="left"/>
              <w:rPr>
                <w:rFonts w:ascii="Calibri" w:hAnsi="Calibri"/>
                <w:b/>
                <w:b/>
                <w:bCs/>
                <w:i w:val="false"/>
                <w:i w:val="false"/>
                <w:iCs w:val="false"/>
                <w:strike w:val="false"/>
                <w:dstrike w:val="false"/>
                <w:outline w:val="false"/>
                <w:shadow w:val="false"/>
                <w:color w:val="000000"/>
                <w:sz w:val="22"/>
                <w:szCs w:val="22"/>
                <w:u w:val="non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b/>
                <w:bCs/>
                <w:i w:val="false"/>
                <w:iCs w:val="false"/>
                <w:strike w:val="false"/>
                <w:dstrike w:val="false"/>
                <w:outline w:val="false"/>
                <w:shadow w:val="false"/>
                <w:color w:val="000000"/>
                <w:kern w:val="0"/>
                <w:sz w:val="22"/>
                <w:szCs w:val="22"/>
                <w:u w:val="none"/>
                <w:lang w:val="es-ES" w:eastAsia="en-US" w:bidi="ar-SA"/>
              </w:rPr>
              <w:t xml:space="preserve">CE.FQ.4 </w:t>
            </w:r>
          </w:p>
          <w:p>
            <w:pPr>
              <w:pStyle w:val="Contenidodelatabla"/>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b/>
                <w:bCs/>
                <w:i w:val="false"/>
                <w:iCs w:val="false"/>
                <w:strike w:val="false"/>
                <w:dstrike w:val="false"/>
                <w:outline w:val="false"/>
                <w:shadow w:val="false"/>
                <w:color w:val="000000"/>
                <w:kern w:val="0"/>
                <w:sz w:val="22"/>
                <w:szCs w:val="22"/>
                <w:u w:val="none"/>
                <w:lang w:val="es-ES" w:eastAsia="en-US" w:bidi="ar-SA"/>
              </w:rPr>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rFonts w:eastAsia="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Simluación en laboratorio virtual.</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Modelos moleculares.</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1</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eastAsia="Verdana" w:cs="Verdana"/>
                <w:sz w:val="22"/>
                <w:szCs w:val="22"/>
                <w:lang w:val="es-ES"/>
              </w:rPr>
            </w:pPr>
            <w:r>
              <w:rPr>
                <w:rFonts w:eastAsia="Verdana" w:cs="Verdana" w:ascii="Calibri" w:hAnsi="Calibri"/>
                <w:sz w:val="22"/>
                <w:szCs w:val="22"/>
                <w:lang w:val="es-ES"/>
              </w:rPr>
              <w:t>Fuerzas intramoleculares: enlace iónico, enlace covalente, diagramas de Lewis, enlace metálico.</w:t>
            </w:r>
          </w:p>
          <w:p>
            <w:pPr>
              <w:pStyle w:val="Estiloparrafos"/>
              <w:numPr>
                <w:ilvl w:val="0"/>
                <w:numId w:val="2"/>
              </w:numPr>
              <w:bidi w:val="0"/>
              <w:spacing w:before="0" w:after="60"/>
              <w:ind w:left="284" w:right="0" w:hanging="142"/>
              <w:jc w:val="left"/>
              <w:rPr>
                <w:rFonts w:ascii="Calibri" w:hAnsi="Calibri" w:eastAsia="Verdana" w:cs="Verdana"/>
                <w:b w:val="false"/>
                <w:b w:val="false"/>
                <w:bCs w:val="false"/>
                <w:i w:val="false"/>
                <w:i w:val="false"/>
                <w:iCs w:val="false"/>
                <w:strike w:val="false"/>
                <w:dstrike w:val="false"/>
                <w:outline w:val="false"/>
                <w:shadow w:val="false"/>
                <w:color w:val="000000"/>
                <w:sz w:val="22"/>
                <w:szCs w:val="22"/>
                <w:u w:val="none"/>
                <w:lang w:val="es-ES"/>
              </w:rPr>
            </w:pPr>
            <w:r>
              <w:rPr>
                <w:rFonts w:eastAsia="Verdana" w:cs="Verdana" w:ascii="Calibri" w:hAnsi="Calibri"/>
                <w:b w:val="false"/>
                <w:bCs w:val="false"/>
                <w:i w:val="false"/>
                <w:iCs w:val="false"/>
                <w:strike w:val="false"/>
                <w:dstrike w:val="false"/>
                <w:outline w:val="false"/>
                <w:shadow w:val="false"/>
                <w:color w:val="000000"/>
                <w:sz w:val="22"/>
                <w:szCs w:val="22"/>
                <w:u w:val="none"/>
                <w:lang w:val="es-ES"/>
              </w:rPr>
              <w:t>Fuerzas intermoleculares: enlace por puente de hidrógeno, fuerzas de Van der Waals.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cs="Verdana"/>
          <w:b/>
          <w:b/>
          <w:color w:val="C9211E"/>
          <w:kern w:val="0"/>
          <w:sz w:val="22"/>
          <w:szCs w:val="22"/>
          <w:u w:val="none"/>
          <w:lang w:val="es-ES" w:eastAsia="en-US" w:bidi="ar-SA"/>
        </w:rPr>
      </w:pPr>
      <w:r>
        <w:rPr>
          <w:rFonts w:eastAsia="Calibri" w:cs="Verdana" w:ascii="Calibri" w:hAnsi="Calibri"/>
          <w:b/>
          <w:color w:val="C9211E"/>
          <w:kern w:val="0"/>
          <w:sz w:val="22"/>
          <w:szCs w:val="22"/>
          <w:u w:val="none"/>
          <w:lang w:val="es-ES" w:eastAsia="en-US" w:bidi="ar-SA"/>
        </w:rPr>
      </w:r>
    </w:p>
    <w:p>
      <w:pPr>
        <w:pStyle w:val="Estiloparrafos"/>
        <w:bidi w:val="0"/>
        <w:spacing w:before="0" w:after="60"/>
        <w:ind w:left="284" w:right="0" w:hanging="142"/>
        <w:rPr>
          <w:rFonts w:ascii="Calibri" w:hAnsi="Calibri" w:eastAsia="Verdana" w:cs="Verdana"/>
          <w:b/>
          <w:b/>
          <w:sz w:val="22"/>
          <w:szCs w:val="22"/>
          <w:u w:val="none"/>
          <w:lang w:val="es-ES"/>
        </w:rPr>
      </w:pPr>
      <w:r>
        <w:rPr>
          <w:rFonts w:eastAsia="Verdana" w:cs="Verdana" w:ascii="Calibri" w:hAnsi="Calibri"/>
          <w:b/>
          <w:sz w:val="22"/>
          <w:szCs w:val="22"/>
          <w:u w:val="none"/>
          <w:lang w:val="es-ES"/>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Formulación y nomenclatura inorgánica</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Octubre - noviembre</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6</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none"/>
              </w:rPr>
            </w:pPr>
            <w:r>
              <w:rPr>
                <w:rFonts w:ascii="Calibri" w:hAnsi="Calibri"/>
                <w:b/>
                <w:sz w:val="22"/>
                <w:szCs w:val="22"/>
                <w:u w:val="none"/>
              </w:rPr>
              <w:t>CE.FQ.3</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3.2. Nombrar y formular correctamente sustancias simples, iones y compuestos químicos inorgánicos y orgánicos utilizando las normas de la IUPAC, como parte de un lenguaje integrador y universal para toda la comunidad científica.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1:</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LA ESTRUCTURA DE LA MATERIA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jc w:val="left"/>
              <w:rPr>
                <w:rFonts w:ascii="Calibri" w:hAnsi="Calibri" w:eastAsia="Verdana" w:cs="Verdana"/>
                <w:b w:val="false"/>
                <w:b w:val="false"/>
                <w:bCs w:val="false"/>
                <w:i w:val="false"/>
                <w:i w:val="false"/>
                <w:iCs w:val="false"/>
                <w:strike w:val="false"/>
                <w:dstrike w:val="false"/>
                <w:outline w:val="false"/>
                <w:shadow w:val="false"/>
                <w:color w:val="000000"/>
                <w:sz w:val="22"/>
                <w:szCs w:val="22"/>
                <w:u w:val="none"/>
                <w:lang w:val="es-ES"/>
              </w:rPr>
            </w:pPr>
            <w:r>
              <w:rPr>
                <w:rFonts w:eastAsia="Verdana" w:cs="Verdana" w:ascii="Calibri" w:hAnsi="Calibri"/>
                <w:b w:val="false"/>
                <w:bCs w:val="false"/>
                <w:i w:val="false"/>
                <w:iCs w:val="false"/>
                <w:strike w:val="false"/>
                <w:dstrike w:val="false"/>
                <w:outline w:val="false"/>
                <w:shadow w:val="false"/>
                <w:color w:val="000000"/>
                <w:sz w:val="22"/>
                <w:szCs w:val="22"/>
                <w:u w:val="none"/>
                <w:lang w:val="es-ES"/>
              </w:rPr>
              <w:t xml:space="preserve">Formulación y nomenclatura de compuestos binarios y ternarios. </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prácticos.</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0" w:right="0" w:hanging="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Las sustancias y su identificación</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Noviembre diciembre</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sz w:val="22"/>
                <w:szCs w:val="22"/>
              </w:rPr>
            </w:pPr>
            <w:r>
              <w:rPr>
                <w:rFonts w:ascii="Calibri" w:hAnsi="Calibri"/>
                <w:b/>
                <w:sz w:val="22"/>
                <w:szCs w:val="22"/>
                <w:u w:val="none"/>
              </w:rPr>
              <w:t xml:space="preserve">CE.FQ.1,  CE.FQ.2, CE.FQ.3, </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Normal"/>
              <w:widowControl/>
              <w:spacing w:lineRule="auto" w:line="240" w:before="0" w:after="0"/>
              <w:jc w:val="left"/>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b/>
                <w:bCs/>
                <w:i w:val="false"/>
                <w:iCs w:val="false"/>
                <w:strike w:val="false"/>
                <w:dstrike w:val="false"/>
                <w:outline w:val="false"/>
                <w:shadow w:val="false"/>
                <w:color w:val="000000"/>
                <w:kern w:val="0"/>
                <w:sz w:val="22"/>
                <w:szCs w:val="22"/>
                <w:u w:val="none"/>
                <w:lang w:val="es-ES" w:eastAsia="en-US" w:bidi="ar-SA"/>
              </w:rPr>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2:</w:t>
            </w:r>
          </w:p>
          <w:p>
            <w:pPr>
              <w:pStyle w:val="Estiloparrafos"/>
              <w:bidi w:val="0"/>
              <w:spacing w:before="360" w:after="120"/>
              <w:ind w:left="510" w:right="0" w:hanging="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ASPECTOS CUANTITATIVOS DE LA QUÍMICA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Leyes fundamentales de a química (Ley de Lavoisier, Ley de Proust, Ley de Dalton).</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Teoría atómica de Dalton.</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Leyes de los volúmenes de combinación o Ley de Gay- Lussac.</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Hipótesis de Avogadro.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Teoría atómica molecular.</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El mol como unidad de medida.</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Fórmula empírica y fórmula molecular. Obtención a partir de la composición centesimal de las sustancias.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b/>
          <w:b/>
          <w:color w:val="C9211E"/>
          <w:kern w:val="0"/>
          <w:sz w:val="22"/>
          <w:szCs w:val="22"/>
          <w:u w:val="none"/>
          <w:lang w:val="es-ES" w:eastAsia="en-US" w:bidi="ar-SA"/>
        </w:rPr>
      </w:pPr>
      <w:r>
        <w:rPr>
          <w:rFonts w:eastAsia="Calibri" w:ascii="Calibri" w:hAnsi="Calibri"/>
          <w:b/>
          <w:color w:val="C9211E"/>
          <w:kern w:val="0"/>
          <w:sz w:val="22"/>
          <w:szCs w:val="22"/>
          <w:u w:val="none"/>
          <w:lang w:val="es-ES" w:eastAsia="en-US" w:bidi="ar-SA"/>
        </w:rPr>
      </w:r>
    </w:p>
    <w:p>
      <w:pPr>
        <w:pStyle w:val="Estiloparrafos"/>
        <w:numPr>
          <w:ilvl w:val="0"/>
          <w:numId w:val="0"/>
        </w:numPr>
        <w:bidi w:val="0"/>
        <w:spacing w:before="0" w:after="60"/>
        <w:ind w:left="720" w:right="0" w:hanging="0"/>
        <w:rPr>
          <w:rFonts w:ascii="Calibri" w:hAnsi="Calibri" w:eastAsia="Calibri"/>
          <w:b/>
          <w:b/>
          <w:color w:val="C9211E"/>
          <w:kern w:val="0"/>
          <w:sz w:val="22"/>
          <w:szCs w:val="22"/>
          <w:u w:val="none"/>
          <w:lang w:val="es-ES" w:eastAsia="en-US" w:bidi="ar-SA"/>
        </w:rPr>
      </w:pPr>
      <w:r>
        <w:rPr>
          <w:rFonts w:eastAsia="Calibri" w:ascii="Calibri" w:hAnsi="Calibri"/>
          <w:b/>
          <w:color w:val="C9211E"/>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Los gases</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diciembre - enero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ascii="Calibri" w:hAnsi="Calibri"/>
                <w:b/>
                <w:sz w:val="22"/>
                <w:szCs w:val="22"/>
                <w:u w:val="none"/>
              </w:rPr>
              <w:t xml:space="preserve">CE.FQ.1, CE.FQ.2, CE.FQ.3, </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ascii="Calibri" w:hAnsi="Calibri"/>
                <w:b/>
                <w:bCs/>
                <w:i w:val="false"/>
                <w:iCs w:val="false"/>
                <w:strike w:val="false"/>
                <w:dstrike w:val="false"/>
                <w:outline w:val="false"/>
                <w:shadow w:val="false"/>
                <w:color w:val="000000"/>
                <w:sz w:val="22"/>
                <w:szCs w:val="22"/>
                <w:u w:val="none"/>
              </w:rPr>
              <w:t>CE.FQ.2</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2:</w:t>
            </w:r>
          </w:p>
          <w:p>
            <w:pPr>
              <w:pStyle w:val="Estiloparrafos"/>
              <w:bidi w:val="0"/>
              <w:spacing w:before="360" w:after="120"/>
              <w:ind w:left="510" w:right="0" w:hanging="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ASPECTOS CUANTITATIVOS DE LA QUÍMICA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Leyes de los gases; ley de Boyle-Mariotte; ley de Gay-Lussac; ley de Charles; ecuación general de los gases ideales.</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Ecuación de estado de los gases ideales;  la densidad de un gas ideal.</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Mezcla de gases; ley de Dalton de las presiones parciales; composición en volumen de una mezcla de gases.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b/>
          <w:b/>
          <w:sz w:val="22"/>
          <w:szCs w:val="22"/>
          <w:u w:val="single"/>
        </w:rPr>
      </w:pPr>
      <w:r>
        <w:rPr>
          <w:rFonts w:ascii="Calibri" w:hAnsi="Calibri"/>
          <w:b/>
          <w:sz w:val="22"/>
          <w:szCs w:val="22"/>
          <w:u w:val="single"/>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Disoluciones</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enero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sz w:val="22"/>
                <w:szCs w:val="22"/>
              </w:rPr>
            </w:pPr>
            <w:r>
              <w:rPr>
                <w:rFonts w:ascii="Calibri" w:hAnsi="Calibri"/>
                <w:b/>
                <w:sz w:val="22"/>
                <w:szCs w:val="22"/>
                <w:u w:val="none"/>
              </w:rPr>
              <w:t xml:space="preserve">CE.FQ.1,  CE.FQ.2, CE.FQ.3, </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 </w:t>
            </w:r>
            <w:r>
              <w:rPr>
                <w:rFonts w:ascii="Calibri" w:hAnsi="Calibri"/>
                <w:b/>
                <w:bCs/>
                <w:i w:val="false"/>
                <w:iCs w:val="false"/>
                <w:strike w:val="false"/>
                <w:dstrike w:val="false"/>
                <w:outline w:val="false"/>
                <w:shadow w:val="false"/>
                <w:color w:val="000000"/>
                <w:sz w:val="22"/>
                <w:szCs w:val="22"/>
                <w:u w:val="none"/>
              </w:rPr>
              <w:t>CE.FQ.2</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2</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color w:val="000000"/>
                <w:sz w:val="22"/>
                <w:szCs w:val="22"/>
                <w:lang w:val="es-ES"/>
              </w:rPr>
            </w:pPr>
            <w:r>
              <w:rPr>
                <w:rFonts w:ascii="Calibri" w:hAnsi="Calibri"/>
                <w:color w:val="000000"/>
                <w:sz w:val="22"/>
                <w:szCs w:val="22"/>
                <w:lang w:val="es-ES"/>
              </w:rPr>
              <w:t>Las disoluciones.</w:t>
            </w:r>
          </w:p>
          <w:p>
            <w:pPr>
              <w:pStyle w:val="Estiloparrafos"/>
              <w:numPr>
                <w:ilvl w:val="0"/>
                <w:numId w:val="2"/>
              </w:numPr>
              <w:bidi w:val="0"/>
              <w:spacing w:before="0" w:after="60"/>
              <w:ind w:left="284" w:right="0" w:hanging="142"/>
              <w:rPr>
                <w:rFonts w:ascii="Calibri" w:hAnsi="Calibri"/>
                <w:color w:val="000000"/>
                <w:sz w:val="22"/>
                <w:szCs w:val="22"/>
                <w:lang w:val="es-ES"/>
              </w:rPr>
            </w:pPr>
            <w:r>
              <w:rPr>
                <w:rFonts w:ascii="Calibri" w:hAnsi="Calibri"/>
                <w:color w:val="000000"/>
                <w:sz w:val="22"/>
                <w:szCs w:val="22"/>
                <w:lang w:val="es-ES"/>
              </w:rPr>
              <w:t>La concentración de una disolución; unidades físicas de la concentración; concentración y densidad de una disolución; unidades químicas para expresar la concentración; cambio en las unidades de la concentración.</w:t>
            </w:r>
          </w:p>
          <w:p>
            <w:pPr>
              <w:pStyle w:val="Estiloparrafos"/>
              <w:numPr>
                <w:ilvl w:val="0"/>
                <w:numId w:val="2"/>
              </w:numPr>
              <w:bidi w:val="0"/>
              <w:spacing w:before="0" w:after="60"/>
              <w:ind w:left="284" w:right="0" w:hanging="142"/>
              <w:rPr>
                <w:rFonts w:ascii="Calibri" w:hAnsi="Calibri"/>
                <w:color w:val="000000"/>
                <w:sz w:val="22"/>
                <w:szCs w:val="22"/>
                <w:lang w:val="es-ES"/>
              </w:rPr>
            </w:pPr>
            <w:r>
              <w:rPr>
                <w:rFonts w:ascii="Calibri" w:hAnsi="Calibri"/>
                <w:color w:val="000000"/>
                <w:sz w:val="22"/>
                <w:szCs w:val="22"/>
                <w:lang w:val="es-ES"/>
              </w:rPr>
              <w:t>Solubilidad; la solubilidad de los sólidos y la temperatura; la solubilidad de los gases y la temperatura.</w:t>
            </w:r>
          </w:p>
          <w:p>
            <w:pPr>
              <w:pStyle w:val="Estiloparrafos"/>
              <w:numPr>
                <w:ilvl w:val="0"/>
                <w:numId w:val="2"/>
              </w:numPr>
              <w:bidi w:val="0"/>
              <w:spacing w:before="0" w:after="60"/>
              <w:ind w:left="284" w:right="0" w:hanging="142"/>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val="false"/>
                <w:bCs w:val="false"/>
                <w:i w:val="false"/>
                <w:iCs w:val="false"/>
                <w:strike w:val="false"/>
                <w:dstrike w:val="false"/>
                <w:outline w:val="false"/>
                <w:shadow w:val="false"/>
                <w:color w:val="000000"/>
                <w:kern w:val="0"/>
                <w:sz w:val="22"/>
                <w:szCs w:val="22"/>
                <w:u w:val="none"/>
                <w:lang w:val="es-ES" w:eastAsia="en-US" w:bidi="ar-SA"/>
              </w:rPr>
              <w:t>Propiedades coligativas; descenso de la presión de vapor; ascenso del punto de ebullición; descenso del punto de congelación; ósmosis.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color w:val="C9211E"/>
          <w:sz w:val="22"/>
          <w:szCs w:val="22"/>
          <w:lang w:val="es-ES"/>
        </w:rPr>
      </w:pPr>
      <w:r>
        <w:rPr>
          <w:rFonts w:ascii="Calibri" w:hAnsi="Calibri"/>
          <w:color w:val="C9211E"/>
          <w:sz w:val="22"/>
          <w:szCs w:val="22"/>
          <w:lang w:val="es-ES"/>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Reacciones químicas</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1º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enero - febrero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Sesiones:8-10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ascii="Calibri" w:hAnsi="Calibri"/>
                <w:b/>
                <w:sz w:val="22"/>
                <w:szCs w:val="22"/>
                <w:u w:val="none"/>
              </w:rPr>
              <w:t>CE.FQ.1,  CE.FQ.2, CE.FQ.3,</w:t>
            </w:r>
            <w:r>
              <w:rPr>
                <w:rFonts w:eastAsia="Calibri" w:ascii="Calibri" w:hAnsi="Calibri"/>
                <w:b/>
                <w:kern w:val="0"/>
                <w:sz w:val="22"/>
                <w:szCs w:val="22"/>
                <w:u w:val="none"/>
                <w:lang w:val="es-ES" w:eastAsia="en-US" w:bidi="ar-SA"/>
              </w:rPr>
              <w:t>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CE.FQ.1 </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CE.FQ.2</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3:</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REACCIONES QUÍMICAS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Ajuste de una ecuación química.</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Cálculos estequiométricos en las reacciones químicas; cálculo de la materia en las reacciones químicas; cálculos estequiométricos en una reacción, cálculos con reactivos de dterminada riqueza, con un reactivo limitante y en procesos con rendimiento inferior al 100%.</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b/>
          <w:b/>
          <w:sz w:val="22"/>
          <w:szCs w:val="22"/>
        </w:rPr>
      </w:pPr>
      <w:r>
        <w:rPr>
          <w:rFonts w:ascii="Calibri" w:hAnsi="Calibri"/>
          <w:b/>
          <w:sz w:val="22"/>
          <w:szCs w:val="22"/>
        </w:rPr>
      </w:r>
    </w:p>
    <w:p>
      <w:pPr>
        <w:pStyle w:val="Estiloparrafos"/>
        <w:numPr>
          <w:ilvl w:val="0"/>
          <w:numId w:val="0"/>
        </w:numPr>
        <w:bidi w:val="0"/>
        <w:spacing w:before="0" w:after="60"/>
        <w:ind w:left="862" w:right="0" w:hanging="0"/>
        <w:rPr>
          <w:rFonts w:ascii="Calibri" w:hAnsi="Calibri"/>
          <w:sz w:val="22"/>
          <w:szCs w:val="22"/>
          <w:lang w:val="es-ES"/>
        </w:rPr>
      </w:pPr>
      <w:r>
        <w:rPr>
          <w:rFonts w:ascii="Calibri" w:hAnsi="Calibri"/>
          <w:sz w:val="22"/>
          <w:szCs w:val="22"/>
          <w:lang w:val="es-ES"/>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Química del carbono</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2º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febrero - marzo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Sesiones:8-10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3.2. Nombrar y formular correctamente sustancias simples, iones y compuestos químicos inorgánicos y orgánicos utilizando las normas de la IUPAC, como parte de un lenguaje integrador y universal para toda la comunidad científica.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4:</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QUÍMICA DEL CARBONO</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El átomo de carbono y sus enlaces.</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Fórmula de los compuestos orgánicos; modelos de representar fórmulas de compuestos orgánicos; obtención de la fórmula de un compuesto orgánico.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Formulación de compuestos orgánicos; formulación de hidrocarburos; compuestos oxigenados y compuestos nitrogenados.</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Isomería.</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Reacciones de los compuestos orgánicos; reacciones de combustión; reacciones de condensación e hidrólisis.</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Polímeros: estructura, propiedades, clasificación y aplicaciones.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color w:val="C9211E"/>
          <w:sz w:val="22"/>
          <w:szCs w:val="22"/>
          <w:lang w:val="es-ES"/>
        </w:rPr>
      </w:pPr>
      <w:r>
        <w:rPr>
          <w:rFonts w:ascii="Calibri" w:hAnsi="Calibri"/>
          <w:color w:val="C9211E"/>
          <w:sz w:val="22"/>
          <w:szCs w:val="22"/>
          <w:lang w:val="es-ES"/>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TÍTULO: El movimiento </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2º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marzo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10-12</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CE.FQ.4 </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5:</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CINEMÁTICA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Introducción; el punto material.</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La posición; la posición a lo largo de la trayectoria; la posición mediante coordenadas en un sistema de referencia; el vector de posición; el vector desplazamiento.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La velocidad; la velocidad media; la velocidad instantánea; la velocidad y el sistema de referencia.</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La aceleración; componentes intrínsecos de la aceleración. El módulo de la aceleración; la aceleración y el sistema de referencia; clasificación de los movimientos según su aceleración.</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color w:val="C9211E"/>
          <w:kern w:val="0"/>
          <w:sz w:val="22"/>
          <w:szCs w:val="22"/>
          <w:u w:val="none"/>
          <w:lang w:val="es-ES" w:eastAsia="en-US" w:bidi="ar-SA"/>
        </w:rPr>
      </w:pPr>
      <w:r>
        <w:rPr>
          <w:rFonts w:eastAsia="Calibri" w:ascii="Calibri" w:hAnsi="Calibri"/>
          <w:color w:val="C9211E"/>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Tipos de movimientos</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marzo - abril</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10-12</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CE.FQ.4 </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5: CINEMÁTICA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Movimiento rectilíneo y uniforme; representación gráfica de movimientos uniformes.</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Movimientos con aceleración constante; la ecuación de la velocidad en la MUA; la ecuación de la posición en el MUA; movimiento rectilíneo uniformemente acelerado; ecuaciones de MRUA; representación gráfica del MRUA; movimientos rectilíneos bajo la gravedad.</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Movimiento parabólico; tiro parabólico sencillo; tiro parabólico desde cierta altura.</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Movimientos circulares; la posición angular; la velocidad angular; la aceleración angular; el movimiento circular uniforme; MCU; el movimiento circular uniformemente acelerado; MCUA.</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color w:val="C9211E"/>
          <w:sz w:val="22"/>
          <w:szCs w:val="22"/>
          <w:lang w:val="es-ES"/>
        </w:rPr>
      </w:pPr>
      <w:r>
        <w:rPr>
          <w:rFonts w:ascii="Calibri" w:hAnsi="Calibri"/>
          <w:color w:val="C9211E"/>
          <w:sz w:val="22"/>
          <w:szCs w:val="22"/>
          <w:lang w:val="es-ES"/>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Las fuerzas</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abril</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CE.FQ.1 </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6: DINÁMICA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Fuerzas a distancia; la fuerza como interacción; la fuerza gravitatoria; la fuerza eléctrica.</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Fuerzas de contacto; la fuerza normal; fuerzas de rozamiento; la fuerza tensión.</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El problema del equilibrio; las fuerzas son aditivas; primera condición de equilibrio; segunda condición de equilibrio.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Movimiento lineal e impulso; cambio en la velocidad e impulso mecánico; momento lineal (o cantidad de movimiento); relación entre el momento lineal y la fuerza.</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La conservación del momento lineal; la tercera ley de Newton y la conservación del momento lineal; colisiones.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Dinámica</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mayo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240" w:after="120"/>
              <w:jc w:val="center"/>
              <w:rPr>
                <w:rFonts w:ascii="Calibri" w:hAnsi="Calibri" w:eastAsia="Calibri"/>
                <w:b/>
                <w:b/>
                <w:bCs/>
                <w:i w:val="false"/>
                <w:i w:val="false"/>
                <w:iCs w:val="false"/>
                <w:strike w:val="false"/>
                <w:dstrike w:val="false"/>
                <w:outline w:val="false"/>
                <w:shadow w:val="false"/>
                <w:color w:val="000000"/>
                <w:kern w:val="0"/>
                <w:sz w:val="22"/>
                <w:szCs w:val="22"/>
                <w:u w:val="none"/>
                <w:lang w:val="es-ES" w:eastAsia="en-US" w:bidi="ar-SA"/>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3.4. Poner en práctica los conocimientos adquiridos en la experimentación científica en laboratorio o campo, incluyendo el conocimiento de sus materiales y su normativa básica de uso, así como de las normas de seguridad propias de estos espacios, y comprendiendo la importancia en el progreso científico y emprendedor de que la experimentación sea segura, sin comprometer la integridad Física propia y colectiva.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6:</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DINÁMICA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Dinámica del MAS; fuerzas elásticas; dinámica del movimiento armónico simple.</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Dinámica del movimiento circular; movimiento circular uniforme; movimiento circular uniformemente acelerado.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La cinemática de los planetas; las leyes de Kepler; el momento angular de los planetas; leyes de Kepler y conservación del momento angular.</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La dinámica de los planetas; de Kepler a Newton; el valor de la aceleración de la gravedad terrestre; la fuerza peso; aproximación a la idea de campo gravitatorio; ley de gravitación y satélites.</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Fuerzas centrales; semejanzas y diferencias entre fuerzas; estudio de cargas eléctricas suspendidas.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360" w:after="120"/>
        <w:ind w:left="567" w:right="0" w:hanging="0"/>
        <w:rPr>
          <w:rFonts w:ascii="Calibri" w:hAnsi="Calibri"/>
          <w:b/>
          <w:b/>
          <w:sz w:val="22"/>
          <w:szCs w:val="22"/>
        </w:rPr>
      </w:pPr>
      <w:r>
        <w:rPr>
          <w:rFonts w:ascii="Calibri" w:hAnsi="Calibri"/>
          <w:b/>
          <w:sz w:val="22"/>
          <w:szCs w:val="22"/>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Trabajo y energía</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mayo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 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ind w:left="567" w:right="0" w:hanging="0"/>
              <w:rPr>
                <w:rFonts w:ascii="Calibri" w:hAnsi="Calibri"/>
                <w:b/>
                <w:b/>
                <w:sz w:val="22"/>
                <w:szCs w:val="22"/>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360" w:after="120"/>
              <w:ind w:left="567" w:right="0" w:hanging="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CE.FQ.1</w:t>
            </w:r>
          </w:p>
          <w:p>
            <w:pPr>
              <w:pStyle w:val="Estiloparrafos"/>
              <w:bidi w:val="0"/>
              <w:spacing w:before="360" w:after="120"/>
              <w:ind w:left="567" w:right="0" w:hanging="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 </w:t>
            </w:r>
            <w:r>
              <w:rPr>
                <w:rFonts w:ascii="Calibri" w:hAnsi="Calibri"/>
                <w:b/>
                <w:bCs/>
                <w:i w:val="false"/>
                <w:iCs w:val="false"/>
                <w:strike w:val="false"/>
                <w:dstrike w:val="false"/>
                <w:outline w:val="false"/>
                <w:shadow w:val="false"/>
                <w:color w:val="000000"/>
                <w:sz w:val="22"/>
                <w:szCs w:val="22"/>
                <w:u w:val="none"/>
              </w:rPr>
              <w:t>CE.FQ.3</w:t>
            </w:r>
          </w:p>
          <w:p>
            <w:pPr>
              <w:pStyle w:val="Estiloparrafos"/>
              <w:bidi w:val="0"/>
              <w:spacing w:before="360" w:after="120"/>
              <w:ind w:left="567" w:right="0" w:hanging="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360" w:after="120"/>
              <w:ind w:left="567" w:right="0" w:hanging="0"/>
              <w:jc w:val="center"/>
              <w:rPr>
                <w:rFonts w:ascii="Calibri" w:hAnsi="Calibri"/>
                <w:b/>
                <w:b/>
                <w:bCs/>
                <w:i w:val="false"/>
                <w:i w:val="false"/>
                <w:iCs w:val="false"/>
                <w:strike w:val="false"/>
                <w:dstrike w:val="false"/>
                <w:outline w:val="false"/>
                <w:shadow w:val="false"/>
                <w:color w:val="000000"/>
                <w:sz w:val="22"/>
                <w:szCs w:val="22"/>
                <w:u w:val="non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1.2. Resolver problemas fisicoquímicos planteados a partir de situaciones cotidianas, aplicando las leyes y teorías científicas para encontrar y argumentar las soluciones, expresando adecuadamente los resultados.</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1.3. Identificar situaciones problemáticas en el entorno cotidiano, emprender iniciativas y buscar soluciones sostenibles desde la Física y la Química, analizando críticamente el impacto producido en la sociedad y el medioambiente.</w:t>
            </w:r>
          </w:p>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7:</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ENERGíA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La energía y los cambios; concepto de energía, energía, trabajo y calor: primera ley de la termodinámica.</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Trabajo; definición de trabajo; cálculo gráfico del trabajo.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Trabajo y energía cinética, la energía cinética; teorema de la energía cinética; la energía cinética y la distancia de frenado.</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Trabajo y energía potencial; energía potencial gravitatoria, el trabajo y la energía potencial gravitatoria.</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Principio de conservación de la energía mecánica, principio de conservación de la energía cuando actúan fuerzas conservativas y no conservativas.</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rPr>
          <w:rFonts w:ascii="Calibri" w:hAnsi="Calibri" w:eastAsia="Calibri"/>
          <w:color w:val="C9211E"/>
          <w:kern w:val="0"/>
          <w:sz w:val="22"/>
          <w:szCs w:val="22"/>
          <w:u w:val="none"/>
          <w:lang w:val="es-ES" w:eastAsia="en-US" w:bidi="ar-SA"/>
        </w:rPr>
      </w:pPr>
      <w:r>
        <w:rPr>
          <w:rFonts w:eastAsia="Calibri" w:ascii="Calibri" w:hAnsi="Calibri"/>
          <w:color w:val="C9211E"/>
          <w:kern w:val="0"/>
          <w:sz w:val="22"/>
          <w:szCs w:val="22"/>
          <w:u w:val="none"/>
          <w:lang w:val="es-ES" w:eastAsia="en-US" w:bidi="ar-SA"/>
        </w:rPr>
      </w:r>
    </w:p>
    <w:tbl>
      <w:tblPr>
        <w:tblW w:w="9645" w:type="dxa"/>
        <w:jc w:val="left"/>
        <w:tblInd w:w="0" w:type="dxa"/>
        <w:tblCellMar>
          <w:top w:w="55" w:type="dxa"/>
          <w:left w:w="55" w:type="dxa"/>
          <w:bottom w:w="55" w:type="dxa"/>
          <w:right w:w="55" w:type="dxa"/>
        </w:tblCellMar>
      </w:tblPr>
      <w:tblGrid>
        <w:gridCol w:w="1930"/>
        <w:gridCol w:w="1409"/>
        <w:gridCol w:w="2"/>
        <w:gridCol w:w="3122"/>
        <w:gridCol w:w="760"/>
        <w:gridCol w:w="2421"/>
      </w:tblGrid>
      <w:tr>
        <w:trPr/>
        <w:tc>
          <w:tcPr>
            <w:tcW w:w="9644" w:type="dxa"/>
            <w:gridSpan w:val="6"/>
            <w:tcBorders>
              <w:top w:val="single" w:sz="4" w:space="0" w:color="000000"/>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TÍTULO:  Fuerzas y energía</w:t>
            </w:r>
          </w:p>
        </w:tc>
      </w:tr>
      <w:tr>
        <w:trPr/>
        <w:tc>
          <w:tcPr>
            <w:tcW w:w="1930"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Nivel: 1º Bachillerato</w:t>
            </w:r>
          </w:p>
        </w:tc>
        <w:tc>
          <w:tcPr>
            <w:tcW w:w="1409" w:type="dxa"/>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Trimestre: 3º</w:t>
            </w:r>
          </w:p>
        </w:tc>
        <w:tc>
          <w:tcPr>
            <w:tcW w:w="3884" w:type="dxa"/>
            <w:gridSpan w:val="3"/>
            <w:tcBorders>
              <w:left w:val="single" w:sz="4" w:space="0" w:color="000000"/>
              <w:bottom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Temporalización: junio</w:t>
            </w:r>
          </w:p>
        </w:tc>
        <w:tc>
          <w:tcPr>
            <w:tcW w:w="2421" w:type="dxa"/>
            <w:tcBorders>
              <w:left w:val="single" w:sz="4" w:space="0" w:color="000000"/>
              <w:bottom w:val="single" w:sz="4" w:space="0" w:color="000000"/>
              <w:right w:val="single" w:sz="4" w:space="0" w:color="000000"/>
            </w:tcBorders>
            <w:shd w:fill="auto" w:val="clear"/>
          </w:tcPr>
          <w:p>
            <w:pPr>
              <w:pStyle w:val="Contenidodelatabla"/>
              <w:spacing w:before="0" w:after="200"/>
              <w:jc w:val="left"/>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Sesiones:10</w:t>
            </w:r>
          </w:p>
        </w:tc>
      </w:tr>
      <w:tr>
        <w:trPr>
          <w:trHeight w:val="684" w:hRule="atLeast"/>
        </w:trPr>
        <w:tc>
          <w:tcPr>
            <w:tcW w:w="1930" w:type="dxa"/>
            <w:tcBorders>
              <w:left w:val="single" w:sz="4" w:space="0" w:color="000000"/>
              <w:bottom w:val="single" w:sz="4" w:space="0" w:color="000000"/>
            </w:tcBorders>
            <w:shd w:fill="auto" w:val="clear"/>
          </w:tcPr>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Competencias específicas</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bidi w:val="0"/>
              <w:spacing w:before="240" w:after="120"/>
              <w:rPr>
                <w:rFonts w:ascii="Calibri" w:hAnsi="Calibri"/>
                <w:b/>
                <w:b/>
                <w:sz w:val="22"/>
                <w:szCs w:val="22"/>
                <w:u w:val="single"/>
              </w:rPr>
            </w:pPr>
            <w:r>
              <w:rPr>
                <w:rFonts w:eastAsia="Calibri" w:ascii="Calibri" w:hAnsi="Calibri"/>
                <w:b/>
                <w:kern w:val="0"/>
                <w:sz w:val="22"/>
                <w:szCs w:val="22"/>
                <w:u w:val="none"/>
                <w:lang w:val="es-ES" w:eastAsia="en-US" w:bidi="ar-SA"/>
              </w:rPr>
              <w:t>CE.FQ.1,  CE.FQ.2, CE.FQ.3, CE.FQ.4, CE.FQ.5 y CE.FQ.6</w:t>
            </w:r>
          </w:p>
        </w:tc>
      </w:tr>
      <w:tr>
        <w:trPr>
          <w:trHeight w:val="450" w:hRule="atLeast"/>
        </w:trPr>
        <w:tc>
          <w:tcPr>
            <w:tcW w:w="3341" w:type="dxa"/>
            <w:gridSpan w:val="3"/>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Criterios de evaluación</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(en el currículo)</w:t>
            </w:r>
          </w:p>
        </w:tc>
        <w:tc>
          <w:tcPr>
            <w:tcW w:w="3122"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 xml:space="preserve">Indicadores </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(concreción de los criterios de evaluación cuando sea necesaria)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Instrumentos de evaluación</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(herramientas donde se evidencia el desempeño de los criterios de evaluación)</w:t>
            </w:r>
          </w:p>
        </w:tc>
      </w:tr>
      <w:tr>
        <w:trPr>
          <w:trHeight w:val="2209" w:hRule="atLeast"/>
        </w:trPr>
        <w:tc>
          <w:tcPr>
            <w:tcW w:w="3341" w:type="dxa"/>
            <w:gridSpan w:val="3"/>
            <w:tcBorders>
              <w:left w:val="single" w:sz="4" w:space="0" w:color="000000"/>
              <w:bottom w:val="single" w:sz="4" w:space="0" w:color="000000"/>
            </w:tcBorders>
            <w:shd w:fill="auto" w:val="clear"/>
          </w:tcPr>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none"/>
              </w:rPr>
            </w:pPr>
            <w:r>
              <w:rPr>
                <w:rFonts w:ascii="Calibri" w:hAnsi="Calibri"/>
                <w:b/>
                <w:bCs/>
                <w:i w:val="false"/>
                <w:iCs w:val="false"/>
                <w:strike w:val="false"/>
                <w:dstrike w:val="false"/>
                <w:outline w:val="false"/>
                <w:shadow w:val="false"/>
                <w:color w:val="000000"/>
                <w:sz w:val="22"/>
                <w:szCs w:val="22"/>
                <w:u w:val="none"/>
              </w:rPr>
              <w:t xml:space="preserve">CE.FQ.3 </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ascii="Calibri" w:hAnsi="Calibri"/>
                <w:b/>
                <w:bCs/>
                <w:i w:val="false"/>
                <w:iCs w:val="false"/>
                <w:strike w:val="false"/>
                <w:dstrike w:val="false"/>
                <w:outline w:val="false"/>
                <w:shadow w:val="false"/>
                <w:color w:val="000000"/>
                <w:sz w:val="22"/>
                <w:szCs w:val="22"/>
                <w:u w:val="none"/>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CE.FQ.4</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CE.FQ.5</w:t>
            </w:r>
          </w:p>
          <w:p>
            <w:pPr>
              <w:pStyle w:val="Estiloparrafos"/>
              <w:bidi w:val="0"/>
              <w:spacing w:before="240" w:after="120"/>
              <w:jc w:val="center"/>
              <w:rPr>
                <w:rFonts w:ascii="Calibri" w:hAnsi="Calibri"/>
                <w:b/>
                <w:b/>
                <w:bCs/>
                <w:i w:val="false"/>
                <w:i w:val="false"/>
                <w:iCs w:val="false"/>
                <w:strike w:val="false"/>
                <w:dstrike w:val="false"/>
                <w:outline w:val="false"/>
                <w:shadow w:val="false"/>
                <w:color w:val="000000"/>
                <w:sz w:val="22"/>
                <w:szCs w:val="22"/>
                <w:u w:val="single"/>
              </w:rPr>
            </w:pP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 xml:space="preserve"> </w:t>
            </w:r>
            <w:r>
              <w:rPr>
                <w:rFonts w:eastAsia="Calibri" w:ascii="Calibri" w:hAnsi="Calibri"/>
                <w:b/>
                <w:bCs/>
                <w:i w:val="false"/>
                <w:iCs w:val="false"/>
                <w:strike w:val="false"/>
                <w:dstrike w:val="false"/>
                <w:outline w:val="false"/>
                <w:shadow w:val="false"/>
                <w:color w:val="000000"/>
                <w:kern w:val="0"/>
                <w:sz w:val="22"/>
                <w:szCs w:val="22"/>
                <w:u w:val="none"/>
                <w:lang w:val="es-ES" w:eastAsia="en-US" w:bidi="ar-SA"/>
              </w:rPr>
              <w:t>CE.FQ.6</w:t>
            </w:r>
          </w:p>
        </w:tc>
        <w:tc>
          <w:tcPr>
            <w:tcW w:w="3122" w:type="dxa"/>
            <w:tcBorders>
              <w:left w:val="single" w:sz="4" w:space="0" w:color="000000"/>
              <w:bottom w:val="single" w:sz="4" w:space="0" w:color="000000"/>
            </w:tcBorders>
            <w:shd w:fill="auto" w:val="clear"/>
          </w:tcPr>
          <w:p>
            <w:pPr>
              <w:pStyle w:val="Normal"/>
              <w:widowControl/>
              <w:spacing w:lineRule="auto" w:line="240" w:before="0" w:after="0"/>
              <w:jc w:val="left"/>
              <w:rPr>
                <w:rFonts w:ascii="Calibri" w:hAnsi="Calibri" w:eastAsia="Calibri"/>
                <w:kern w:val="0"/>
                <w:sz w:val="22"/>
                <w:szCs w:val="22"/>
                <w:lang w:val="es-ES" w:eastAsia="en-US" w:bidi="ar-SA"/>
              </w:rPr>
            </w:pPr>
            <w:r>
              <w:rPr>
                <w:rFonts w:eastAsia="Calibri"/>
                <w:kern w:val="0"/>
                <w:sz w:val="22"/>
                <w:szCs w:val="22"/>
                <w:lang w:val="es-ES" w:eastAsia="en-US" w:bidi="ar-SA"/>
              </w:rPr>
              <w:t>3.1. Utilizar y relacionar de manera rigurosa diferentes sistemas de unidades, empleando correctamente su notación y sus equivalencias, haciendo posible una comunicación efectiva con toda la comunidad científica.</w:t>
            </w:r>
          </w:p>
          <w:p>
            <w:pPr>
              <w:pStyle w:val="Normal"/>
              <w:widowControl/>
              <w:spacing w:lineRule="auto" w:line="240" w:before="0" w:after="0"/>
              <w:jc w:val="left"/>
              <w:rPr>
                <w:rFonts w:ascii="Calibri" w:hAnsi="Calibri" w:eastAsia="Calibri"/>
                <w:b w:val="false"/>
                <w:b w:val="false"/>
                <w:bCs w:val="false"/>
                <w:i w:val="false"/>
                <w:i w:val="false"/>
                <w:iCs w:val="false"/>
                <w:strike w:val="false"/>
                <w:dstrike w:val="false"/>
                <w:outline w:val="false"/>
                <w:shadow w:val="false"/>
                <w:color w:val="000000"/>
                <w:kern w:val="0"/>
                <w:sz w:val="22"/>
                <w:szCs w:val="22"/>
                <w:u w:val="none"/>
                <w:lang w:val="es-ES" w:eastAsia="en-US" w:bidi="ar-SA"/>
              </w:rPr>
            </w:pPr>
            <w:r>
              <w:rPr>
                <w:rFonts w:eastAsia="Calibri"/>
                <w:b w:val="false"/>
                <w:bCs w:val="false"/>
                <w:i w:val="false"/>
                <w:iCs w:val="false"/>
                <w:strike w:val="false"/>
                <w:dstrike w:val="false"/>
                <w:outline w:val="false"/>
                <w:shadow w:val="false"/>
                <w:color w:val="000000"/>
                <w:kern w:val="0"/>
                <w:sz w:val="22"/>
                <w:szCs w:val="22"/>
                <w:u w:val="none"/>
                <w:lang w:val="es-ES" w:eastAsia="en-US" w:bidi="ar-SA"/>
              </w:rPr>
              <w:t>3.3. Emplear diferentes formatos para interpretar y expresar información relativa a un proceso fisicoquímico concreto, relacionando entre sí la información que cada uno de ellos contiene y extrayendo de él lo más relevante durante la resolución de un problema.</w:t>
            </w:r>
          </w:p>
        </w:tc>
        <w:tc>
          <w:tcPr>
            <w:tcW w:w="3181" w:type="dxa"/>
            <w:gridSpan w:val="2"/>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Seguimiento diario con lluvias de ideas, preguntas específicas.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Pruebas escritas.</w:t>
            </w:r>
          </w:p>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Simulaciones en laboratorios virtuales.</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Práctica de laboratorio.</w:t>
            </w:r>
          </w:p>
        </w:tc>
      </w:tr>
      <w:tr>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Saberes básicos</w:t>
            </w:r>
          </w:p>
          <w:p>
            <w:pPr>
              <w:pStyle w:val="Contenidodelatabla"/>
              <w:spacing w:before="0" w:after="200"/>
              <w:jc w:val="center"/>
              <w:rPr>
                <w:rFonts w:ascii="Calibri" w:hAnsi="Calibri"/>
                <w:sz w:val="22"/>
                <w:szCs w:val="22"/>
              </w:rPr>
            </w:pPr>
            <w:r>
              <w:rPr>
                <w:b w:val="false"/>
                <w:bCs w:val="false"/>
                <w:i w:val="false"/>
                <w:iCs w:val="false"/>
                <w:strike w:val="false"/>
                <w:dstrike w:val="false"/>
                <w:outline w:val="false"/>
                <w:shadow w:val="false"/>
                <w:color w:val="000000"/>
                <w:sz w:val="22"/>
                <w:szCs w:val="22"/>
                <w:u w:val="none"/>
              </w:rPr>
              <w:t>(en el currículo)</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Bloque 7:</w:t>
            </w:r>
          </w:p>
          <w:p>
            <w:pPr>
              <w:pStyle w:val="Contenidodelatabla"/>
              <w:spacing w:before="0" w:after="200"/>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ENERGÍA</w:t>
            </w:r>
          </w:p>
        </w:tc>
        <w:tc>
          <w:tcPr>
            <w:tcW w:w="7714" w:type="dxa"/>
            <w:gridSpan w:val="5"/>
            <w:tcBorders>
              <w:left w:val="single" w:sz="4" w:space="0" w:color="000000"/>
              <w:bottom w:val="single" w:sz="4" w:space="0" w:color="000000"/>
              <w:right w:val="single" w:sz="4" w:space="0" w:color="000000"/>
            </w:tcBorders>
            <w:shd w:fill="auto" w:val="clear"/>
          </w:tcPr>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Fuerza elástica y energía; energía potencial elástica de un oscilador; energía cinética de un oscilador armónico; energía mecánica de un oscilador armónico; dependencia temporal de la energía del oscilador.</w:t>
            </w:r>
          </w:p>
          <w:p>
            <w:pPr>
              <w:pStyle w:val="Estiloparrafos"/>
              <w:numPr>
                <w:ilvl w:val="0"/>
                <w:numId w:val="2"/>
              </w:numPr>
              <w:bidi w:val="0"/>
              <w:spacing w:before="0" w:after="60"/>
              <w:ind w:left="284" w:right="0" w:hanging="142"/>
              <w:rPr>
                <w:rFonts w:ascii="Calibri" w:hAnsi="Calibri"/>
                <w:sz w:val="22"/>
                <w:szCs w:val="22"/>
                <w:lang w:val="es-ES"/>
              </w:rPr>
            </w:pPr>
            <w:r>
              <w:rPr>
                <w:rFonts w:ascii="Calibri" w:hAnsi="Calibri"/>
                <w:sz w:val="22"/>
                <w:szCs w:val="22"/>
                <w:lang w:val="es-ES"/>
              </w:rPr>
              <w:t>Fuerza eléctrica y energía; la energía potencial electrostática; potencial electrostático; acelerador de partículas.</w:t>
            </w:r>
          </w:p>
          <w:p>
            <w:pPr>
              <w:pStyle w:val="Estiloparrafos"/>
              <w:numPr>
                <w:ilvl w:val="0"/>
                <w:numId w:val="2"/>
              </w:numPr>
              <w:bidi w:val="0"/>
              <w:spacing w:before="0" w:after="60"/>
              <w:ind w:left="284" w:right="0" w:hanging="142"/>
              <w:jc w:val="left"/>
              <w:rPr>
                <w:rFonts w:ascii="Calibri" w:hAnsi="Calibri"/>
                <w:b w:val="false"/>
                <w:b w:val="false"/>
                <w:bCs w:val="false"/>
                <w:i w:val="false"/>
                <w:i w:val="false"/>
                <w:iCs w:val="false"/>
                <w:strike w:val="false"/>
                <w:dstrike w:val="false"/>
                <w:outline w:val="false"/>
                <w:shadow w:val="false"/>
                <w:color w:val="000000"/>
                <w:sz w:val="22"/>
                <w:szCs w:val="22"/>
                <w:u w:val="none"/>
                <w:lang w:val="es-ES"/>
              </w:rPr>
            </w:pPr>
            <w:r>
              <w:rPr>
                <w:rFonts w:ascii="Calibri" w:hAnsi="Calibri"/>
                <w:b w:val="false"/>
                <w:bCs w:val="false"/>
                <w:i w:val="false"/>
                <w:iCs w:val="false"/>
                <w:strike w:val="false"/>
                <w:dstrike w:val="false"/>
                <w:outline w:val="false"/>
                <w:shadow w:val="false"/>
                <w:color w:val="000000"/>
                <w:sz w:val="22"/>
                <w:szCs w:val="22"/>
                <w:u w:val="none"/>
                <w:lang w:val="es-ES"/>
              </w:rPr>
              <w:t>Fuerza gravitatoria y energía; energía potencial gravitatoria; energía mecánica total.</w:t>
            </w:r>
          </w:p>
        </w:tc>
      </w:tr>
      <w:tr>
        <w:trPr>
          <w:trHeight w:val="347" w:hRule="atLeast"/>
        </w:trPr>
        <w:tc>
          <w:tcPr>
            <w:tcW w:w="9644" w:type="dxa"/>
            <w:gridSpan w:val="6"/>
            <w:tcBorders>
              <w:left w:val="single" w:sz="4" w:space="0" w:color="000000"/>
              <w:bottom w:val="single" w:sz="4" w:space="0" w:color="000000"/>
              <w:right w:val="single" w:sz="4" w:space="0" w:color="000000"/>
            </w:tcBorders>
            <w:shd w:fill="auto" w:val="clear"/>
          </w:tcPr>
          <w:p>
            <w:pPr>
              <w:pStyle w:val="Contenidodelatabla"/>
              <w:jc w:val="center"/>
              <w:rPr>
                <w:rFonts w:ascii="Calibri" w:hAnsi="Calibri"/>
                <w:b/>
                <w:b/>
                <w:bCs/>
                <w:i w:val="false"/>
                <w:i w:val="false"/>
                <w:iCs w:val="false"/>
                <w:strike w:val="false"/>
                <w:dstrike w:val="false"/>
                <w:outline w:val="false"/>
                <w:shadow w:val="false"/>
                <w:color w:val="000000"/>
                <w:sz w:val="22"/>
                <w:szCs w:val="22"/>
                <w:u w:val="none"/>
              </w:rPr>
            </w:pPr>
            <w:r>
              <w:rPr>
                <w:b/>
                <w:bCs/>
                <w:i w:val="false"/>
                <w:iCs w:val="false"/>
                <w:strike w:val="false"/>
                <w:dstrike w:val="false"/>
                <w:outline w:val="false"/>
                <w:shadow w:val="false"/>
                <w:color w:val="000000"/>
                <w:sz w:val="22"/>
                <w:szCs w:val="22"/>
                <w:u w:val="none"/>
              </w:rPr>
              <w:t>Actividades</w:t>
            </w:r>
          </w:p>
          <w:p>
            <w:pPr>
              <w:pStyle w:val="Contenidodelatabla"/>
              <w:spacing w:before="0" w:after="200"/>
              <w:jc w:val="center"/>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(principales actividades de referencia)</w:t>
            </w:r>
          </w:p>
        </w:tc>
      </w:tr>
      <w:tr>
        <w:trPr>
          <w:trHeight w:val="1368" w:hRule="atLeast"/>
        </w:trPr>
        <w:tc>
          <w:tcPr>
            <w:tcW w:w="1930" w:type="dxa"/>
            <w:tcBorders>
              <w:left w:val="single" w:sz="4" w:space="0" w:color="000000"/>
              <w:bottom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Evaluación inicial</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Desarrollo</w:t>
            </w:r>
          </w:p>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Ampliación</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Refuerzo</w:t>
            </w:r>
          </w:p>
        </w:tc>
        <w:tc>
          <w:tcPr>
            <w:tcW w:w="7714" w:type="dxa"/>
            <w:gridSpan w:val="5"/>
            <w:tcBorders>
              <w:left w:val="single" w:sz="4" w:space="0" w:color="000000"/>
              <w:bottom w:val="single" w:sz="4" w:space="0" w:color="000000"/>
              <w:right w:val="single" w:sz="4" w:space="0" w:color="000000"/>
            </w:tcBorders>
            <w:shd w:fill="auto" w:val="clear"/>
          </w:tcPr>
          <w:p>
            <w:pPr>
              <w:pStyle w:val="Contenidodelatabla"/>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reflexión, problemas teórico-prácticos, práctica de laboratorio.</w:t>
            </w:r>
          </w:p>
          <w:p>
            <w:pPr>
              <w:pStyle w:val="Contenidodelatabla"/>
              <w:spacing w:before="0" w:after="200"/>
              <w:jc w:val="left"/>
              <w:rPr>
                <w:rFonts w:ascii="Calibri" w:hAnsi="Calibri"/>
                <w:b w:val="false"/>
                <w:b w:val="false"/>
                <w:bCs w:val="false"/>
                <w:i w:val="false"/>
                <w:i w:val="false"/>
                <w:iCs w:val="false"/>
                <w:strike w:val="false"/>
                <w:dstrike w:val="false"/>
                <w:outline w:val="false"/>
                <w:shadow w:val="false"/>
                <w:color w:val="000000"/>
                <w:sz w:val="22"/>
                <w:szCs w:val="22"/>
                <w:u w:val="none"/>
              </w:rPr>
            </w:pPr>
            <w:r>
              <w:rPr>
                <w:b w:val="false"/>
                <w:bCs w:val="false"/>
                <w:i w:val="false"/>
                <w:iCs w:val="false"/>
                <w:strike w:val="false"/>
                <w:dstrike w:val="false"/>
                <w:outline w:val="false"/>
                <w:shadow w:val="false"/>
                <w:color w:val="000000"/>
                <w:sz w:val="22"/>
                <w:szCs w:val="22"/>
                <w:u w:val="none"/>
              </w:rPr>
              <w:t>Ejercicios de repaso y de ampliación.</w:t>
            </w:r>
          </w:p>
        </w:tc>
      </w:tr>
    </w:tbl>
    <w:p>
      <w:pPr>
        <w:pStyle w:val="Estiloparrafos"/>
        <w:bidi w:val="0"/>
        <w:spacing w:before="240" w:after="120"/>
        <w:jc w:val="both"/>
        <w:rPr>
          <w:rFonts w:ascii="Cambria" w:hAnsi="Cambria" w:eastAsia="Cambria" w:cs="Cambria"/>
          <w:b/>
          <w:b/>
          <w:u w:val="single"/>
        </w:rPr>
      </w:pPr>
      <w:r>
        <w:rPr>
          <w:rFonts w:eastAsia="Cambria" w:cs="Cambria" w:ascii="Cambria" w:hAnsi="Cambria"/>
          <w:b/>
          <w:u w:val="single"/>
        </w:rPr>
      </w:r>
    </w:p>
    <w:p>
      <w:pPr>
        <w:pStyle w:val="Normal"/>
        <w:jc w:val="both"/>
        <w:rPr/>
      </w:pPr>
      <w:r>
        <w:rPr>
          <w:rFonts w:eastAsia="Cambria" w:cs="Cambria" w:ascii="Cambria" w:hAnsi="Cambria"/>
          <w:b/>
          <w:u w:val="single"/>
        </w:rPr>
        <w:t xml:space="preserve">La secuneciasción de los unidades sera: </w:t>
      </w:r>
    </w:p>
    <w:p>
      <w:pPr>
        <w:pStyle w:val="Normal"/>
        <w:jc w:val="both"/>
        <w:rPr/>
      </w:pPr>
      <w:r>
        <w:rPr>
          <w:rFonts w:eastAsia="Cambria" w:cs="Cambria" w:ascii="Cambria" w:hAnsi="Cambria"/>
          <w:b/>
          <w:u w:val="single"/>
        </w:rPr>
        <w:t xml:space="preserve">Primer trimestre: </w:t>
      </w:r>
      <w:r>
        <w:rPr>
          <w:rFonts w:eastAsia="Cambria" w:cs="Cambria" w:ascii="Cambria" w:hAnsi="Cambria"/>
          <w:b w:val="false"/>
          <w:bCs w:val="false"/>
          <w:u w:val="none"/>
        </w:rPr>
        <w:t xml:space="preserve"> Estructura atómica + sistema periódico y enlace,;  Disoluciones+leyes ponderales + Gases y propiedades colicuativas; Formulación inorgánica</w:t>
      </w:r>
    </w:p>
    <w:p>
      <w:pPr>
        <w:pStyle w:val="Normal"/>
        <w:jc w:val="both"/>
        <w:rPr>
          <w:b/>
          <w:b/>
          <w:bCs/>
          <w:u w:val="single"/>
        </w:rPr>
      </w:pPr>
      <w:r>
        <w:rPr>
          <w:rFonts w:eastAsia="Cambria" w:cs="Cambria" w:ascii="Cambria" w:hAnsi="Cambria"/>
          <w:b/>
          <w:bCs/>
          <w:u w:val="single"/>
        </w:rPr>
        <w:t xml:space="preserve">Segundo trimestre: </w:t>
      </w:r>
      <w:r>
        <w:rPr>
          <w:rFonts w:eastAsia="Cambria" w:cs="Cambria" w:ascii="Cambria" w:hAnsi="Cambria"/>
          <w:b w:val="false"/>
          <w:bCs w:val="false"/>
          <w:u w:val="none"/>
        </w:rPr>
        <w:t xml:space="preserve">Estequimetria; Química del Carbono;  Movimiento </w:t>
      </w:r>
    </w:p>
    <w:p>
      <w:pPr>
        <w:pStyle w:val="Normal"/>
        <w:jc w:val="both"/>
        <w:rPr>
          <w:b/>
          <w:b/>
          <w:bCs/>
          <w:u w:val="single"/>
        </w:rPr>
      </w:pPr>
      <w:r>
        <w:rPr>
          <w:rFonts w:eastAsia="Cambria" w:cs="Cambria" w:ascii="Cambria" w:hAnsi="Cambria"/>
          <w:b/>
          <w:bCs/>
          <w:u w:val="single"/>
        </w:rPr>
        <w:t>Tercer trimestre:</w:t>
      </w:r>
      <w:r>
        <w:rPr>
          <w:rFonts w:eastAsia="Cambria" w:cs="Cambria" w:ascii="Cambria" w:hAnsi="Cambria"/>
          <w:b w:val="false"/>
          <w:bCs w:val="false"/>
          <w:u w:val="none"/>
        </w:rPr>
        <w:t xml:space="preserve">  Dinámica, Energía y trabajo. </w:t>
      </w:r>
    </w:p>
    <w:p>
      <w:pPr>
        <w:pStyle w:val="Normal"/>
        <w:jc w:val="both"/>
        <w:rPr>
          <w:rFonts w:ascii="Cambria" w:hAnsi="Cambria" w:eastAsia="Cambria" w:cs="Cambria"/>
          <w:b/>
          <w:b/>
          <w:u w:val="single"/>
        </w:rPr>
      </w:pPr>
      <w:r>
        <w:rPr>
          <w:rFonts w:eastAsia="Cambria" w:cs="Cambria" w:ascii="Cambria" w:hAnsi="Cambria"/>
          <w:b/>
          <w:u w:val="single"/>
        </w:rPr>
        <w:t>3. PROCEDIMIENTOS E INSTRUMENTOS DE EVALUACIÓN</w:t>
      </w:r>
    </w:p>
    <w:p>
      <w:pPr>
        <w:pStyle w:val="Normal"/>
        <w:jc w:val="both"/>
        <w:rPr>
          <w:rFonts w:ascii="Calibri" w:hAnsi="Calibri" w:eastAsia="Cambria" w:cs="Cambria"/>
          <w:b/>
          <w:b/>
          <w:sz w:val="22"/>
          <w:szCs w:val="22"/>
          <w:u w:val="single"/>
        </w:rPr>
      </w:pPr>
      <w:r>
        <w:rPr>
          <w:rFonts w:eastAsia="Cambria" w:cs="Cambria"/>
          <w:b/>
          <w:sz w:val="22"/>
          <w:szCs w:val="22"/>
          <w:u w:val="single"/>
        </w:rPr>
      </w:r>
    </w:p>
    <w:p>
      <w:pPr>
        <w:pStyle w:val="Estiloparrafos"/>
        <w:bidi w:val="0"/>
        <w:spacing w:before="0" w:after="120"/>
        <w:rPr>
          <w:rFonts w:ascii="Calibri" w:hAnsi="Calibri"/>
          <w:sz w:val="22"/>
          <w:szCs w:val="22"/>
        </w:rPr>
      </w:pPr>
      <w:r>
        <w:rPr>
          <w:rFonts w:ascii="Calibri" w:hAnsi="Calibri"/>
          <w:sz w:val="22"/>
          <w:szCs w:val="22"/>
        </w:rPr>
        <w:t>Por medio de los procedimientos evaluaremos, no solo al alumno, sino también la actividad educativa que se desarrolla en el aula, así como todos los elementos que integran el proceso de enseñanza-aprendizaje.</w:t>
      </w:r>
    </w:p>
    <w:p>
      <w:pPr>
        <w:pStyle w:val="Estiloparrafos"/>
        <w:bidi w:val="0"/>
        <w:spacing w:before="0" w:after="120"/>
        <w:rPr>
          <w:rFonts w:ascii="Calibri" w:hAnsi="Calibri"/>
          <w:sz w:val="22"/>
          <w:szCs w:val="22"/>
        </w:rPr>
      </w:pPr>
      <w:r>
        <w:rPr>
          <w:rFonts w:ascii="Calibri" w:hAnsi="Calibri"/>
          <w:sz w:val="22"/>
          <w:szCs w:val="22"/>
        </w:rPr>
        <w:t>De esta manera las actividades de evaluación servirán para conocer la adecuación del proceso educativo a las características del alumno (evaluación continua), y ajustar la ayuda pedagógica a sus necesidades reales (evaluación formativa); y conocer, en definitiva, el nivel de desarrollo intelectual y personal alcanzado por el alumno, en todos sus aspectos, y como resultado de la intervención educativa (evaluación integradora).</w:t>
      </w:r>
    </w:p>
    <w:p>
      <w:pPr>
        <w:pStyle w:val="Estiloparrafos"/>
        <w:bidi w:val="0"/>
        <w:spacing w:before="0" w:after="120"/>
        <w:rPr>
          <w:rFonts w:ascii="Calibri" w:hAnsi="Calibri"/>
          <w:sz w:val="22"/>
          <w:szCs w:val="22"/>
        </w:rPr>
      </w:pPr>
      <w:r>
        <w:rPr>
          <w:rFonts w:ascii="Calibri" w:hAnsi="Calibri"/>
          <w:sz w:val="22"/>
          <w:szCs w:val="22"/>
        </w:rPr>
        <w:t xml:space="preserve">Los </w:t>
      </w:r>
      <w:r>
        <w:rPr>
          <w:rFonts w:ascii="Calibri" w:hAnsi="Calibri"/>
          <w:b/>
          <w:bCs/>
          <w:sz w:val="22"/>
          <w:szCs w:val="22"/>
        </w:rPr>
        <w:t>instrumentos de evaluación</w:t>
      </w:r>
      <w:r>
        <w:rPr>
          <w:rFonts w:ascii="Calibri" w:hAnsi="Calibri"/>
          <w:sz w:val="22"/>
          <w:szCs w:val="22"/>
        </w:rPr>
        <w:t xml:space="preserve"> que utilizaremos son los siguientes:</w:t>
      </w:r>
    </w:p>
    <w:p>
      <w:pPr>
        <w:pStyle w:val="Estiloparrafos"/>
        <w:numPr>
          <w:ilvl w:val="0"/>
          <w:numId w:val="2"/>
        </w:numPr>
        <w:bidi w:val="0"/>
        <w:spacing w:before="0" w:after="120"/>
        <w:ind w:left="567" w:right="0" w:hanging="360"/>
        <w:rPr>
          <w:rFonts w:ascii="Calibri" w:hAnsi="Calibri"/>
          <w:sz w:val="22"/>
          <w:szCs w:val="22"/>
        </w:rPr>
      </w:pPr>
      <w:r>
        <w:rPr>
          <w:rFonts w:ascii="Calibri" w:hAnsi="Calibri"/>
          <w:sz w:val="22"/>
          <w:szCs w:val="22"/>
        </w:rPr>
        <w:t>Observación sistemática del trabajo diario (atención, participación, colaboración y respeto a los demás y a los materiales).</w:t>
      </w:r>
    </w:p>
    <w:p>
      <w:pPr>
        <w:pStyle w:val="Estiloparrafos"/>
        <w:numPr>
          <w:ilvl w:val="0"/>
          <w:numId w:val="2"/>
        </w:numPr>
        <w:bidi w:val="0"/>
        <w:spacing w:before="0" w:after="120"/>
        <w:ind w:left="567" w:right="0" w:hanging="360"/>
        <w:rPr>
          <w:rFonts w:ascii="Calibri" w:hAnsi="Calibri"/>
          <w:sz w:val="22"/>
          <w:szCs w:val="22"/>
        </w:rPr>
      </w:pPr>
      <w:r>
        <w:rPr>
          <w:rFonts w:ascii="Calibri" w:hAnsi="Calibri"/>
          <w:sz w:val="22"/>
          <w:szCs w:val="22"/>
        </w:rPr>
        <w:t xml:space="preserve">Informes de prácticas de laboratorio </w:t>
      </w:r>
    </w:p>
    <w:p>
      <w:pPr>
        <w:pStyle w:val="Estiloparrafos"/>
        <w:numPr>
          <w:ilvl w:val="0"/>
          <w:numId w:val="2"/>
        </w:numPr>
        <w:bidi w:val="0"/>
        <w:spacing w:before="0" w:after="120"/>
        <w:ind w:left="567" w:right="0" w:hanging="360"/>
        <w:rPr>
          <w:rFonts w:ascii="Calibri" w:hAnsi="Calibri"/>
          <w:sz w:val="22"/>
          <w:szCs w:val="22"/>
        </w:rPr>
      </w:pPr>
      <w:r>
        <w:rPr>
          <w:rFonts w:ascii="Calibri" w:hAnsi="Calibri"/>
          <w:sz w:val="22"/>
          <w:szCs w:val="22"/>
        </w:rPr>
        <w:t>Trabajos: realizacion de ejercicios en clase, cuestionarios …...</w:t>
      </w:r>
    </w:p>
    <w:p>
      <w:pPr>
        <w:pStyle w:val="Estiloparrafos"/>
        <w:numPr>
          <w:ilvl w:val="0"/>
          <w:numId w:val="2"/>
        </w:numPr>
        <w:bidi w:val="0"/>
        <w:spacing w:before="0" w:after="120"/>
        <w:ind w:left="567" w:right="0" w:hanging="360"/>
        <w:rPr>
          <w:rFonts w:ascii="Calibri" w:hAnsi="Calibri"/>
          <w:sz w:val="22"/>
          <w:szCs w:val="22"/>
          <w:u w:val="single"/>
        </w:rPr>
      </w:pPr>
      <w:r>
        <w:rPr>
          <w:rFonts w:ascii="Calibri" w:hAnsi="Calibri"/>
          <w:sz w:val="22"/>
          <w:szCs w:val="22"/>
          <w:u w:val="single"/>
        </w:rPr>
        <w:t xml:space="preserve">Exámenes </w:t>
      </w:r>
    </w:p>
    <w:p>
      <w:pPr>
        <w:pStyle w:val="Estiloparrafos"/>
        <w:bidi w:val="0"/>
        <w:spacing w:before="0" w:after="120"/>
        <w:ind w:left="567" w:right="0" w:hanging="0"/>
        <w:rPr>
          <w:rFonts w:ascii="Calibri" w:hAnsi="Calibri"/>
          <w:sz w:val="22"/>
          <w:szCs w:val="22"/>
        </w:rPr>
      </w:pPr>
      <w:r>
        <w:rPr>
          <w:rFonts w:ascii="Calibri" w:hAnsi="Calibri"/>
          <w:sz w:val="22"/>
          <w:szCs w:val="22"/>
        </w:rPr>
        <w:t xml:space="preserve">Las pruebas podrán contener problemas, cuestiones de respuesta concreta, de verdadero-falso, de relacionar conceptos y de interpretación de datos. Se podrá incluir algún texto científico con preguntas sobre lo que han leído. </w:t>
      </w:r>
    </w:p>
    <w:p>
      <w:pPr>
        <w:pStyle w:val="Estiloparrafos"/>
        <w:bidi w:val="0"/>
        <w:spacing w:before="0" w:after="120"/>
        <w:ind w:left="567" w:right="0" w:hanging="0"/>
        <w:rPr>
          <w:rFonts w:ascii="Calibri" w:hAnsi="Calibri"/>
          <w:sz w:val="22"/>
          <w:szCs w:val="22"/>
        </w:rPr>
      </w:pPr>
      <w:r>
        <w:rPr>
          <w:rFonts w:ascii="Calibri" w:hAnsi="Calibri"/>
          <w:sz w:val="22"/>
          <w:szCs w:val="22"/>
        </w:rPr>
        <w:t xml:space="preserve">Está previsto realizar dos pruebas escritas por evaluación. </w:t>
      </w:r>
    </w:p>
    <w:p>
      <w:pPr>
        <w:pStyle w:val="Estiloparrafos"/>
        <w:bidi w:val="0"/>
        <w:spacing w:before="0" w:after="120"/>
        <w:ind w:left="567" w:right="0" w:hanging="0"/>
        <w:rPr>
          <w:rFonts w:ascii="Calibri" w:hAnsi="Calibri"/>
          <w:sz w:val="22"/>
          <w:szCs w:val="22"/>
        </w:rPr>
      </w:pPr>
      <w:r>
        <w:rPr>
          <w:rFonts w:ascii="Calibri" w:hAnsi="Calibri"/>
          <w:color w:val="000000"/>
          <w:sz w:val="22"/>
          <w:szCs w:val="22"/>
        </w:rPr>
        <w:t>Si un alumno falta el día del examen se le repetirá el examen si entrega un justificante. Sino su nota sera de 0.</w:t>
      </w:r>
    </w:p>
    <w:p>
      <w:pPr>
        <w:pStyle w:val="Estiloparrafos"/>
        <w:bidi w:val="0"/>
        <w:spacing w:before="0" w:after="120"/>
        <w:ind w:left="567" w:right="0" w:hanging="0"/>
        <w:rPr/>
      </w:pPr>
      <w:r>
        <w:rPr>
          <w:rFonts w:ascii="Calibri" w:hAnsi="Calibri"/>
          <w:color w:val="000000"/>
          <w:sz w:val="22"/>
          <w:szCs w:val="22"/>
        </w:rPr>
        <w:t xml:space="preserve">Si durante la </w:t>
      </w:r>
      <w:r>
        <w:rPr>
          <w:rFonts w:ascii="Calibri" w:hAnsi="Calibri"/>
          <w:color w:val="000000"/>
          <w:sz w:val="22"/>
          <w:szCs w:val="22"/>
        </w:rPr>
        <w:t>realización</w:t>
      </w:r>
      <w:r>
        <w:rPr>
          <w:rFonts w:ascii="Calibri" w:hAnsi="Calibri"/>
          <w:color w:val="000000"/>
          <w:sz w:val="22"/>
          <w:szCs w:val="22"/>
        </w:rPr>
        <w:t xml:space="preserve"> de una examen un alumno, copia, habla, saca un dispositivo electrónico….La nota de ese examen sera 0. </w:t>
      </w:r>
    </w:p>
    <w:p>
      <w:pPr>
        <w:pStyle w:val="Estiloparrafos"/>
        <w:bidi w:val="0"/>
        <w:spacing w:before="120" w:after="120"/>
        <w:ind w:left="567" w:right="0" w:hanging="0"/>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b/>
          <w:b/>
          <w:u w:val="single"/>
        </w:rPr>
      </w:pPr>
      <w:r>
        <w:rPr>
          <w:rFonts w:eastAsia="Cambria" w:cs="Cambria" w:ascii="Cambria" w:hAnsi="Cambria"/>
          <w:b/>
          <w:u w:val="single"/>
        </w:rPr>
        <w:t>4. CRITERIOS DE CALIFICACIÓN</w:t>
      </w:r>
    </w:p>
    <w:p>
      <w:pPr>
        <w:pStyle w:val="Normal"/>
        <w:jc w:val="both"/>
        <w:rPr>
          <w:rFonts w:ascii="Calibri" w:hAnsi="Calibri"/>
          <w:sz w:val="22"/>
          <w:szCs w:val="22"/>
        </w:rPr>
      </w:pPr>
      <w:r>
        <w:rPr>
          <w:sz w:val="22"/>
          <w:szCs w:val="22"/>
        </w:rPr>
      </w:r>
    </w:p>
    <w:p>
      <w:pPr>
        <w:pStyle w:val="Normal"/>
        <w:rPr>
          <w:rFonts w:ascii="Calibri" w:hAnsi="Calibri"/>
          <w:sz w:val="22"/>
          <w:szCs w:val="22"/>
        </w:rPr>
      </w:pPr>
      <w:r>
        <w:rPr>
          <w:sz w:val="22"/>
          <w:szCs w:val="22"/>
        </w:rPr>
        <w:t>1. Teniendo en cuenta los procedimientos e instrumentos de evaluación indicados</w:t>
      </w:r>
    </w:p>
    <w:p>
      <w:pPr>
        <w:pStyle w:val="Normal"/>
        <w:rPr>
          <w:rFonts w:ascii="Calibri" w:hAnsi="Calibri"/>
          <w:sz w:val="22"/>
          <w:szCs w:val="22"/>
        </w:rPr>
      </w:pPr>
      <w:r>
        <w:rPr>
          <w:sz w:val="22"/>
          <w:szCs w:val="22"/>
        </w:rPr>
        <w:t>anteriormente en esta programación, se indican a continuación los criterios de calificación</w:t>
      </w:r>
    </w:p>
    <w:p>
      <w:pPr>
        <w:pStyle w:val="Normal"/>
        <w:rPr>
          <w:rFonts w:ascii="Calibri" w:hAnsi="Calibri"/>
          <w:sz w:val="22"/>
          <w:szCs w:val="22"/>
        </w:rPr>
      </w:pPr>
      <w:r>
        <w:rPr>
          <w:sz w:val="22"/>
          <w:szCs w:val="22"/>
        </w:rPr>
        <w:t>que se van a utilizar para este curso para obtener la calificación final de cada evaluación:</w:t>
      </w:r>
    </w:p>
    <w:p>
      <w:pPr>
        <w:pStyle w:val="Normal"/>
        <w:rPr>
          <w:rFonts w:ascii="Calibri" w:hAnsi="Calibri"/>
          <w:sz w:val="22"/>
          <w:szCs w:val="22"/>
        </w:rPr>
      </w:pPr>
      <w:r>
        <w:rPr>
          <w:sz w:val="22"/>
          <w:szCs w:val="22"/>
        </w:rPr>
        <w:t>a) La media aritmética ponderada de la nota obtenida en los exámenes que se realicen a lo largo de la</w:t>
      </w:r>
    </w:p>
    <w:p>
      <w:pPr>
        <w:pStyle w:val="Normal"/>
        <w:rPr>
          <w:rFonts w:ascii="Calibri" w:hAnsi="Calibri"/>
          <w:sz w:val="22"/>
          <w:szCs w:val="22"/>
        </w:rPr>
      </w:pPr>
      <w:r>
        <w:rPr>
          <w:sz w:val="22"/>
          <w:szCs w:val="22"/>
        </w:rPr>
        <w:t>evaluación tendrá un peso del 90 % de la nota final.</w:t>
      </w:r>
    </w:p>
    <w:p>
      <w:pPr>
        <w:pStyle w:val="Normal"/>
        <w:rPr/>
      </w:pPr>
      <w:r>
        <w:rPr>
          <w:sz w:val="22"/>
          <w:szCs w:val="22"/>
        </w:rPr>
        <w:t>El examen de formulación se contabilizada para ser apto con un porcentaje del 80% de aciertos</w:t>
      </w:r>
    </w:p>
    <w:p>
      <w:pPr>
        <w:pStyle w:val="Normal"/>
        <w:rPr>
          <w:rFonts w:ascii="Calibri" w:hAnsi="Calibri"/>
          <w:sz w:val="22"/>
          <w:szCs w:val="22"/>
        </w:rPr>
      </w:pPr>
      <w:r>
        <w:rPr>
          <w:sz w:val="22"/>
          <w:szCs w:val="22"/>
        </w:rPr>
        <w:t>Se intentara como mínimo dos exámenes por evaluación. El contenido de estos exámenes se</w:t>
      </w:r>
    </w:p>
    <w:p>
      <w:pPr>
        <w:pStyle w:val="Normal"/>
        <w:rPr>
          <w:rFonts w:ascii="Calibri" w:hAnsi="Calibri"/>
          <w:sz w:val="22"/>
          <w:szCs w:val="22"/>
        </w:rPr>
      </w:pPr>
      <w:r>
        <w:rPr>
          <w:sz w:val="22"/>
          <w:szCs w:val="22"/>
        </w:rPr>
        <w:t>basará en los saberes y procedimientos expuestos en el libro de texto y podrán incluir</w:t>
      </w:r>
    </w:p>
    <w:p>
      <w:pPr>
        <w:pStyle w:val="Normal"/>
        <w:rPr>
          <w:rFonts w:ascii="Calibri" w:hAnsi="Calibri"/>
          <w:sz w:val="22"/>
          <w:szCs w:val="22"/>
        </w:rPr>
      </w:pPr>
      <w:r>
        <w:rPr>
          <w:sz w:val="22"/>
          <w:szCs w:val="22"/>
        </w:rPr>
        <w:t>actividades realizadas en clase y en laboratorio.</w:t>
      </w:r>
    </w:p>
    <w:p>
      <w:pPr>
        <w:pStyle w:val="Normal"/>
        <w:rPr>
          <w:rFonts w:ascii="Calibri" w:hAnsi="Calibri"/>
          <w:sz w:val="22"/>
          <w:szCs w:val="22"/>
        </w:rPr>
      </w:pPr>
      <w:r>
        <w:rPr>
          <w:sz w:val="22"/>
          <w:szCs w:val="22"/>
        </w:rPr>
        <w:t>Para hallar la contribución de los exámenes a la nota final de una evaluación, se hará la</w:t>
      </w:r>
    </w:p>
    <w:p>
      <w:pPr>
        <w:pStyle w:val="Normal"/>
        <w:rPr/>
      </w:pPr>
      <w:r>
        <w:rPr>
          <w:sz w:val="22"/>
          <w:szCs w:val="22"/>
        </w:rPr>
        <w:t xml:space="preserve">media ponderada de los exámenes realizados, . </w:t>
      </w:r>
    </w:p>
    <w:p>
      <w:pPr>
        <w:pStyle w:val="Normal"/>
        <w:rPr>
          <w:sz w:val="22"/>
          <w:szCs w:val="22"/>
        </w:rPr>
      </w:pPr>
      <w:r>
        <w:rPr>
          <w:sz w:val="22"/>
          <w:szCs w:val="22"/>
        </w:rPr>
      </w:r>
    </w:p>
    <w:p>
      <w:pPr>
        <w:pStyle w:val="Normal"/>
        <w:rPr>
          <w:rFonts w:ascii="Calibri" w:hAnsi="Calibri"/>
          <w:sz w:val="22"/>
          <w:szCs w:val="22"/>
        </w:rPr>
      </w:pPr>
      <w:r>
        <w:rPr>
          <w:sz w:val="22"/>
          <w:szCs w:val="22"/>
        </w:rPr>
        <w:t>b) El profesor supervisará el trabajo diario,  las tareas que se encarguen al</w:t>
      </w:r>
    </w:p>
    <w:p>
      <w:pPr>
        <w:pStyle w:val="Normal"/>
        <w:rPr>
          <w:rFonts w:ascii="Calibri" w:hAnsi="Calibri"/>
          <w:sz w:val="22"/>
          <w:szCs w:val="22"/>
        </w:rPr>
      </w:pPr>
      <w:r>
        <w:rPr>
          <w:sz w:val="22"/>
          <w:szCs w:val="22"/>
        </w:rPr>
        <w:t>alumno (incluyendo tanto los ejercicios propuestos en clase, como las tareas para casa o</w:t>
      </w:r>
    </w:p>
    <w:p>
      <w:pPr>
        <w:pStyle w:val="Normal"/>
        <w:rPr>
          <w:rFonts w:ascii="Calibri" w:hAnsi="Calibri"/>
          <w:sz w:val="22"/>
          <w:szCs w:val="22"/>
        </w:rPr>
      </w:pPr>
      <w:r>
        <w:rPr>
          <w:sz w:val="22"/>
          <w:szCs w:val="22"/>
        </w:rPr>
        <w:t>los informes de las prácticas de laboratorio).  La valoración de este apartado supondrá un</w:t>
      </w:r>
    </w:p>
    <w:p>
      <w:pPr>
        <w:pStyle w:val="Normal"/>
        <w:rPr>
          <w:rFonts w:ascii="Calibri" w:hAnsi="Calibri"/>
          <w:sz w:val="22"/>
          <w:szCs w:val="22"/>
        </w:rPr>
      </w:pPr>
      <w:r>
        <w:rPr>
          <w:sz w:val="22"/>
          <w:szCs w:val="22"/>
        </w:rPr>
        <w:t>10 % de la nota final. El porcentaje de cada una de las partes, variará en función del</w:t>
      </w:r>
    </w:p>
    <w:p>
      <w:pPr>
        <w:pStyle w:val="Normal"/>
        <w:rPr/>
      </w:pPr>
      <w:r>
        <w:rPr>
          <w:sz w:val="22"/>
          <w:szCs w:val="22"/>
        </w:rPr>
        <w:t>número de prácticas y/o trabajos que se hayan podido realizar.</w:t>
      </w:r>
    </w:p>
    <w:p>
      <w:pPr>
        <w:pStyle w:val="Normal"/>
        <w:rPr/>
      </w:pPr>
      <w:r>
        <w:rPr>
          <w:color w:val="auto"/>
          <w:sz w:val="22"/>
          <w:szCs w:val="22"/>
        </w:rPr>
        <w:t>2. La nota de las evaluaciones sera meramente informativa.</w:t>
      </w:r>
      <w:r>
        <w:rPr>
          <w:color w:val="auto"/>
          <w:sz w:val="22"/>
          <w:szCs w:val="22"/>
        </w:rPr>
        <w:t xml:space="preserve"> </w:t>
      </w:r>
      <w:r>
        <w:rPr>
          <w:color w:val="auto"/>
          <w:sz w:val="22"/>
          <w:szCs w:val="22"/>
        </w:rPr>
        <w:t xml:space="preserve">Y se calculara haciendo la ponderación entre exámenes y trabajos. </w:t>
      </w:r>
    </w:p>
    <w:p>
      <w:pPr>
        <w:pStyle w:val="Normal"/>
        <w:rPr>
          <w:rFonts w:ascii="Calibri" w:hAnsi="Calibri"/>
          <w:color w:val="auto"/>
          <w:sz w:val="22"/>
          <w:szCs w:val="22"/>
        </w:rPr>
      </w:pPr>
      <w:r>
        <w:rPr>
          <w:color w:val="auto"/>
          <w:sz w:val="22"/>
          <w:szCs w:val="22"/>
        </w:rPr>
        <w:t xml:space="preserve">La asignatura se divide en dos bloques Química y Física. </w:t>
      </w:r>
    </w:p>
    <w:p>
      <w:pPr>
        <w:pStyle w:val="Normal"/>
        <w:rPr/>
      </w:pPr>
      <w:r>
        <w:rPr>
          <w:color w:val="auto"/>
          <w:sz w:val="22"/>
          <w:szCs w:val="22"/>
        </w:rPr>
        <w:t xml:space="preserve">En cada uno de los bloques la nota sera: </w:t>
      </w:r>
      <w:r>
        <w:rPr>
          <w:color w:val="auto"/>
          <w:sz w:val="22"/>
          <w:szCs w:val="22"/>
        </w:rPr>
        <w:t>90%</w:t>
      </w:r>
      <w:r>
        <w:rPr>
          <w:color w:val="auto"/>
          <w:sz w:val="22"/>
          <w:szCs w:val="22"/>
        </w:rPr>
        <w:t xml:space="preserve"> la media  ponderara de cad</w:t>
      </w:r>
      <w:r>
        <w:rPr>
          <w:color w:val="auto"/>
          <w:sz w:val="22"/>
          <w:szCs w:val="22"/>
        </w:rPr>
        <w:t>a examen</w:t>
      </w:r>
      <w:r>
        <w:rPr>
          <w:color w:val="auto"/>
          <w:sz w:val="22"/>
          <w:szCs w:val="22"/>
        </w:rPr>
        <w:t xml:space="preserve"> dependiendo del numero de sesiones que se dedique a cada una. </w:t>
      </w:r>
      <w:r>
        <w:rPr>
          <w:color w:val="auto"/>
          <w:sz w:val="22"/>
          <w:szCs w:val="22"/>
        </w:rPr>
        <w:t xml:space="preserve">10% del trabajo en cada una de las partes. </w:t>
      </w:r>
      <w:r>
        <w:rPr>
          <w:color w:val="auto"/>
          <w:sz w:val="22"/>
          <w:szCs w:val="22"/>
        </w:rPr>
        <w:t xml:space="preserve"> Y la nota final ordinaria  sera la media de los dos bloques</w:t>
      </w:r>
    </w:p>
    <w:p>
      <w:pPr>
        <w:pStyle w:val="Normal"/>
        <w:rPr/>
      </w:pPr>
      <w:r>
        <w:rPr>
          <w:color w:val="auto"/>
          <w:sz w:val="22"/>
          <w:szCs w:val="22"/>
        </w:rPr>
        <w:t xml:space="preserve">Después de cada bloque se realizara una recuperación de ese bloque , obligatoria para todos., y: </w:t>
      </w:r>
    </w:p>
    <w:p>
      <w:pPr>
        <w:pStyle w:val="Normal"/>
        <w:jc w:val="both"/>
        <w:rPr/>
      </w:pPr>
      <w:r>
        <w:rPr>
          <w:rFonts w:eastAsia="Cambria" w:cs="Cambria"/>
          <w:sz w:val="22"/>
          <w:szCs w:val="22"/>
        </w:rPr>
        <w:t></w:t>
      </w:r>
      <w:r>
        <w:rPr>
          <w:rFonts w:eastAsia="Cambria" w:cs="Cambria"/>
          <w:sz w:val="22"/>
          <w:szCs w:val="22"/>
        </w:rPr>
        <w:t>Si tiene el bloque suspenso, y  lo supera en el examen , quedando la nueva nota para ese bloque.</w:t>
      </w:r>
    </w:p>
    <w:p>
      <w:pPr>
        <w:pStyle w:val="Normal"/>
        <w:jc w:val="both"/>
        <w:rPr/>
      </w:pPr>
      <w:r>
        <w:rPr>
          <w:rFonts w:eastAsia="Cambria" w:cs="Cambria"/>
          <w:sz w:val="22"/>
          <w:szCs w:val="22"/>
        </w:rPr>
        <w:t xml:space="preserve"> </w:t>
      </w:r>
      <w:r>
        <w:rPr>
          <w:rFonts w:eastAsia="Cambria" w:cs="Cambria"/>
          <w:sz w:val="22"/>
          <w:szCs w:val="22"/>
        </w:rPr>
        <w:t>Mantener su calificación si obtienen una calificación igual o hasta 2 puntos inferior a la calificación original.</w:t>
      </w:r>
    </w:p>
    <w:p>
      <w:pPr>
        <w:pStyle w:val="Normal"/>
        <w:jc w:val="both"/>
        <w:rPr/>
      </w:pPr>
      <w:r>
        <w:rPr>
          <w:rFonts w:eastAsia="Cambria" w:cs="Cambria"/>
          <w:color w:val="auto"/>
          <w:sz w:val="22"/>
          <w:szCs w:val="22"/>
        </w:rPr>
        <w:t xml:space="preserve"> </w:t>
      </w:r>
      <w:r>
        <w:rPr>
          <w:rFonts w:eastAsia="Cambria" w:cs="Cambria"/>
          <w:color w:val="auto"/>
          <w:sz w:val="22"/>
          <w:szCs w:val="22"/>
        </w:rPr>
        <w:t>Aminorar su calificación si obtienen una calificación al menos 2 puntos inferior a la original. En este caso se hará la media de las dos calificaciones a la hora de asignar una nota a esa evaluación. Es preciso destacar que en el caso de alumnos/as que hubieran aprobado originalmente la evaluación, la nota media después de incorporar la calificación de esta prueba no podrá ser inferior a 5.</w:t>
      </w:r>
    </w:p>
    <w:p>
      <w:pPr>
        <w:pStyle w:val="Normal"/>
        <w:rPr>
          <w:rFonts w:ascii="Calibri" w:hAnsi="Calibri"/>
          <w:color w:val="auto"/>
          <w:sz w:val="22"/>
          <w:szCs w:val="22"/>
        </w:rPr>
      </w:pPr>
      <w:r>
        <w:rPr>
          <w:color w:val="auto"/>
          <w:sz w:val="22"/>
          <w:szCs w:val="22"/>
        </w:rPr>
        <w:t>4. En los últimos días de curso, se realizará una recuperación final previa a la evaluación final</w:t>
      </w:r>
    </w:p>
    <w:p>
      <w:pPr>
        <w:pStyle w:val="Normal"/>
        <w:rPr/>
      </w:pPr>
      <w:r>
        <w:rPr>
          <w:color w:val="auto"/>
          <w:sz w:val="22"/>
          <w:szCs w:val="22"/>
        </w:rPr>
        <w:t>ordinaria. Los alumnos que tengan algún bloque  suspendida y que no puedan obtener</w:t>
      </w:r>
    </w:p>
    <w:p>
      <w:pPr>
        <w:pStyle w:val="Normal"/>
        <w:rPr/>
      </w:pPr>
      <w:r>
        <w:rPr>
          <w:color w:val="auto"/>
          <w:sz w:val="22"/>
          <w:szCs w:val="22"/>
        </w:rPr>
        <w:t>una calificación final de aprobado según el punto anterior, podrán examinarse sólo del bloque no superado.</w:t>
      </w:r>
    </w:p>
    <w:p>
      <w:pPr>
        <w:pStyle w:val="Normal"/>
        <w:rPr>
          <w:rFonts w:ascii="Calibri" w:hAnsi="Calibri"/>
          <w:color w:val="auto"/>
          <w:sz w:val="22"/>
          <w:szCs w:val="22"/>
        </w:rPr>
      </w:pPr>
      <w:r>
        <w:rPr>
          <w:color w:val="auto"/>
          <w:sz w:val="22"/>
          <w:szCs w:val="22"/>
        </w:rPr>
      </w:r>
    </w:p>
    <w:p>
      <w:pPr>
        <w:pStyle w:val="Cuerpodetexto"/>
        <w:bidi w:val="0"/>
        <w:spacing w:lineRule="auto" w:line="288" w:before="0" w:after="0"/>
        <w:rPr/>
      </w:pPr>
      <w:r>
        <w:rPr>
          <w:rFonts w:ascii="Calibri;sans-serif" w:hAnsi="Calibri;sans-serif"/>
          <w:b w:val="false"/>
          <w:i w:val="false"/>
          <w:caps w:val="false"/>
          <w:smallCaps w:val="false"/>
          <w:strike w:val="false"/>
          <w:dstrike w:val="false"/>
          <w:color w:val="auto"/>
          <w:sz w:val="22"/>
          <w:u w:val="none"/>
          <w:effect w:val="none"/>
        </w:rPr>
        <w:t>Los exámenes se diseñan  de tal forma que el 90% se reparta entre las competencias específicas 1, 2 y 3.1,  3.2  y 3.3 como se indica en este cuadro</w:t>
      </w:r>
    </w:p>
    <w:p>
      <w:pPr>
        <w:pStyle w:val="Cuerpodetexto"/>
        <w:rPr/>
      </w:pPr>
      <w:r>
        <w:rPr/>
      </w:r>
    </w:p>
    <w:p>
      <w:pPr>
        <w:pStyle w:val="Cuerpodetexto"/>
        <w:bidi w:val="0"/>
        <w:spacing w:lineRule="auto" w:line="288" w:before="0" w:after="0"/>
        <w:rPr/>
      </w:pPr>
      <w:r>
        <w:rPr>
          <w:caps w:val="false"/>
          <w:smallCaps w:val="false"/>
          <w:strike w:val="false"/>
          <w:dstrike w:val="false"/>
          <w:color w:val="EE0000"/>
          <w:u w:val="none"/>
          <w:effect w:val="none"/>
        </w:rPr>
        <w:t> </w:t>
      </w:r>
      <w:r>
        <w:rPr>
          <w:rFonts w:ascii="Calibri;sans-serif" w:hAnsi="Calibri;sans-serif"/>
          <w:b w:val="false"/>
          <w:i w:val="false"/>
          <w:caps w:val="false"/>
          <w:smallCaps w:val="false"/>
          <w:strike w:val="false"/>
          <w:dstrike w:val="false"/>
          <w:color w:val="auto"/>
          <w:sz w:val="22"/>
          <w:u w:val="none"/>
          <w:effect w:val="none"/>
        </w:rPr>
        <w:t xml:space="preserve">Las actividades que suponen el 10% estarán diseñadas para cumplir el reparto entre las competencias 3.3, 4, 5 y 6 como se indica en este cuadro. </w:t>
      </w:r>
      <w:r>
        <w:rPr>
          <w:rFonts w:ascii="Calibri;sans-serif" w:hAnsi="Calibri;sans-serif"/>
          <w:b w:val="false"/>
          <w:i w:val="false"/>
          <w:caps w:val="false"/>
          <w:smallCaps w:val="false"/>
          <w:strike w:val="false"/>
          <w:dstrike w:val="false"/>
          <w:color w:val="EE0000"/>
          <w:sz w:val="22"/>
          <w:u w:val="none"/>
          <w:effect w:val="none"/>
        </w:rPr>
        <w:t>. </w:t>
      </w:r>
    </w:p>
    <w:p>
      <w:pPr>
        <w:pStyle w:val="Cuerpodetexto"/>
        <w:spacing w:before="0" w:after="0"/>
        <w:rPr/>
      </w:pPr>
      <w:r>
        <w:rPr/>
      </w:r>
    </w:p>
    <w:tbl>
      <w:tblPr>
        <w:tblW w:w="8475" w:type="dxa"/>
        <w:jc w:val="left"/>
        <w:tblInd w:w="24" w:type="dxa"/>
        <w:tblCellMar>
          <w:top w:w="100" w:type="dxa"/>
          <w:left w:w="100" w:type="dxa"/>
          <w:bottom w:w="100" w:type="dxa"/>
          <w:right w:w="100" w:type="dxa"/>
        </w:tblCellMar>
      </w:tblPr>
      <w:tblGrid>
        <w:gridCol w:w="1933"/>
        <w:gridCol w:w="751"/>
        <w:gridCol w:w="2473"/>
        <w:gridCol w:w="3317"/>
      </w:tblGrid>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COMPETENCIAS ESPECÍFICAS</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rPr/>
            </w:pPr>
            <w:r>
              <w:rPr>
                <w:rFonts w:ascii="Calibri;sans-serif" w:hAnsi="Calibri;sans-serif"/>
                <w:b/>
                <w:i w:val="false"/>
                <w:caps w:val="false"/>
                <w:smallCaps w:val="false"/>
                <w:strike w:val="false"/>
                <w:dstrike w:val="false"/>
                <w:color w:val="000000"/>
                <w:sz w:val="22"/>
                <w:u w:val="none"/>
                <w:effect w:val="none"/>
              </w:rPr>
              <w:t>CRITERIOS DE EVALUACIÓN</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i w:val="false"/>
                <w:caps w:val="false"/>
                <w:smallCaps w:val="false"/>
                <w:strike w:val="false"/>
                <w:dstrike w:val="false"/>
                <w:color w:val="000000"/>
                <w:sz w:val="22"/>
                <w:u w:val="none"/>
                <w:effect w:val="none"/>
              </w:rPr>
              <w:t>INSTRUMENTOS DE EVALUACIÓN</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1.</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35%</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1.1</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1.3 </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FQ.2</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30%</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2.3.</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w:t>
            </w:r>
          </w:p>
          <w:p>
            <w:pPr>
              <w:pStyle w:val="Contenidodelatabla"/>
              <w:suppressLineNumbers/>
              <w:spacing w:before="0" w:after="200"/>
              <w:rPr/>
            </w:pPr>
            <w:r>
              <w:rPr/>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FQ.3.</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29%</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3.1., 3.2 y3.3.  25% </w:t>
            </w:r>
          </w:p>
          <w:p>
            <w:pPr>
              <w:pStyle w:val="Contenidodelatabla"/>
              <w:bidi w:val="0"/>
              <w:spacing w:lineRule="auto" w:line="288" w:before="0" w:after="0"/>
              <w:rPr/>
            </w:pPr>
            <w:r>
              <w:rPr>
                <w:rFonts w:ascii="Calibri;sans-serif" w:hAnsi="Calibri;sans-serif"/>
                <w:b w:val="false"/>
                <w:i w:val="false"/>
                <w:caps w:val="false"/>
                <w:smallCaps w:val="false"/>
                <w:strike w:val="false"/>
                <w:dstrike w:val="false"/>
                <w:color w:val="000000"/>
                <w:sz w:val="22"/>
                <w:u w:val="none"/>
                <w:effect w:val="none"/>
              </w:rPr>
              <w:t>3.3                4%</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PRUEBA OBJETIVA 3.1 y 3.2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EJERCICIOS DE CLASE, Y CASA 3.3 </w:t>
            </w:r>
          </w:p>
          <w:p>
            <w:pPr>
              <w:pStyle w:val="Contenidodelatabla"/>
              <w:bidi w:val="0"/>
              <w:spacing w:lineRule="auto" w:line="288" w:before="0" w:after="0"/>
              <w:jc w:val="both"/>
              <w:rPr/>
            </w:pPr>
            <w:r>
              <w:rPr>
                <w:caps w:val="false"/>
                <w:smallCaps w:val="false"/>
                <w:strike w:val="false"/>
                <w:dstrike w:val="false"/>
                <w:color w:val="000000"/>
                <w:u w:val="none"/>
                <w:effect w:val="none"/>
              </w:rPr>
              <w:t> </w:t>
            </w:r>
            <w:r>
              <w:rPr>
                <w:rFonts w:ascii="Calibri;sans-serif" w:hAnsi="Calibri;sans-serif"/>
                <w:b w:val="false"/>
                <w:i w:val="false"/>
                <w:caps w:val="false"/>
                <w:smallCaps w:val="false"/>
                <w:strike w:val="false"/>
                <w:dstrike w:val="false"/>
                <w:color w:val="000000"/>
                <w:sz w:val="22"/>
                <w:u w:val="none"/>
                <w:effect w:val="none"/>
              </w:rPr>
              <w:t>INFORMES DE LABORATORIO 3.3 </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FQ.4.</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2 %</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4.2 </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ACTIVIDADES DE MANEJO DE LA INFORMACIÓN</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 5</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2 %</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5.2</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CUADERNO </w:t>
            </w:r>
          </w:p>
        </w:tc>
      </w:tr>
      <w:tr>
        <w:trPr/>
        <w:tc>
          <w:tcPr>
            <w:tcW w:w="193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C.E. FQ.6.</w:t>
            </w:r>
          </w:p>
        </w:tc>
        <w:tc>
          <w:tcPr>
            <w:tcW w:w="751"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2 %</w:t>
            </w:r>
          </w:p>
        </w:tc>
        <w:tc>
          <w:tcPr>
            <w:tcW w:w="2473"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6.1 </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6.2</w:t>
            </w:r>
          </w:p>
        </w:tc>
        <w:tc>
          <w:tcPr>
            <w:tcW w:w="3317" w:type="dxa"/>
            <w:tcBorders>
              <w:top w:val="single" w:sz="8" w:space="0" w:color="000000"/>
              <w:left w:val="single" w:sz="8" w:space="0" w:color="000000"/>
              <w:bottom w:val="single" w:sz="8" w:space="0" w:color="000000"/>
              <w:right w:val="single" w:sz="8" w:space="0" w:color="000000"/>
            </w:tcBorders>
            <w:shd w:fill="auto" w:val="clear"/>
            <w:vAlign w:val="center"/>
          </w:tcPr>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INFORMES DE LABORATORIO</w:t>
            </w:r>
          </w:p>
          <w:p>
            <w:pPr>
              <w:pStyle w:val="Contenidodelatabla"/>
              <w:bidi w:val="0"/>
              <w:spacing w:lineRule="auto" w:line="288" w:before="0" w:after="0"/>
              <w:jc w:val="both"/>
              <w:rPr/>
            </w:pPr>
            <w:r>
              <w:rPr>
                <w:rFonts w:ascii="Calibri;sans-serif" w:hAnsi="Calibri;sans-serif"/>
                <w:b w:val="false"/>
                <w:i w:val="false"/>
                <w:caps w:val="false"/>
                <w:smallCaps w:val="false"/>
                <w:strike w:val="false"/>
                <w:dstrike w:val="false"/>
                <w:color w:val="000000"/>
                <w:sz w:val="22"/>
                <w:u w:val="none"/>
                <w:effect w:val="none"/>
              </w:rPr>
              <w:t>TRABAJO EN CLASE Y CASA </w:t>
            </w:r>
          </w:p>
        </w:tc>
      </w:tr>
    </w:tbl>
    <w:p>
      <w:pPr>
        <w:pStyle w:val="Cuerpodetexto"/>
        <w:rPr/>
      </w:pPr>
      <w:r>
        <w:rPr>
          <w:b w:val="false"/>
          <w:color w:val="auto"/>
          <w:sz w:val="22"/>
          <w:szCs w:val="22"/>
        </w:rPr>
        <w:br/>
      </w:r>
    </w:p>
    <w:p>
      <w:pPr>
        <w:pStyle w:val="Normal"/>
        <w:rPr>
          <w:rFonts w:ascii="Calibri" w:hAnsi="Calibri"/>
          <w:color w:val="auto"/>
          <w:sz w:val="22"/>
          <w:szCs w:val="22"/>
        </w:rPr>
      </w:pPr>
      <w:r>
        <w:rPr>
          <w:color w:val="auto"/>
          <w:sz w:val="22"/>
          <w:szCs w:val="22"/>
        </w:rPr>
      </w:r>
    </w:p>
    <w:p>
      <w:pPr>
        <w:pStyle w:val="Normal"/>
        <w:jc w:val="both"/>
        <w:rPr/>
      </w:pPr>
      <w:r>
        <w:rPr>
          <w:color w:val="auto"/>
          <w:sz w:val="22"/>
          <w:szCs w:val="22"/>
        </w:rPr>
        <w:t>6. Aquellos alumnos que obtengan una calificación menor de 5 en la evaluación final ordinaria</w:t>
      </w:r>
    </w:p>
    <w:p>
      <w:pPr>
        <w:pStyle w:val="Normal"/>
        <w:jc w:val="both"/>
        <w:rPr>
          <w:rFonts w:ascii="Calibri" w:hAnsi="Calibri"/>
          <w:sz w:val="22"/>
          <w:szCs w:val="22"/>
        </w:rPr>
      </w:pPr>
      <w:r>
        <w:rPr>
          <w:rFonts w:eastAsia="Cambria" w:cs="Cambria"/>
          <w:sz w:val="22"/>
          <w:szCs w:val="22"/>
        </w:rPr>
        <w:t xml:space="preserve"> </w:t>
      </w:r>
      <w:r>
        <w:rPr>
          <w:rFonts w:eastAsia="Cambria" w:cs="Cambria"/>
          <w:b/>
          <w:bCs/>
          <w:sz w:val="22"/>
          <w:szCs w:val="22"/>
        </w:rPr>
        <w:t xml:space="preserve">Prueba extraordinaria: </w:t>
      </w: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spacing w:before="0" w:after="120"/>
        <w:jc w:val="both"/>
        <w:rPr>
          <w:rFonts w:ascii="Calibri" w:hAnsi="Calibri" w:eastAsia="Cambria" w:cs="Cambria"/>
          <w:color w:val="auto"/>
          <w:sz w:val="22"/>
          <w:szCs w:val="22"/>
        </w:rPr>
      </w:pPr>
      <w:r>
        <w:rPr>
          <w:rFonts w:eastAsia="Cambria" w:cs="Cambria"/>
          <w:color w:val="auto"/>
          <w:sz w:val="22"/>
          <w:szCs w:val="22"/>
        </w:rPr>
        <w:t>Esta prueba extraordinaria se considerará superada cuando se haya obtenido una calificación igual o superior a cinco. La nota final de la materia sera la nota de esta prueba</w:t>
      </w:r>
    </w:p>
    <w:p>
      <w:pPr>
        <w:pStyle w:val="Estiloparrafos"/>
        <w:bidi w:val="0"/>
        <w:spacing w:before="0" w:after="120"/>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b/>
          <w:b/>
          <w:u w:val="single"/>
        </w:rPr>
      </w:pPr>
      <w:r>
        <w:rPr>
          <w:rFonts w:eastAsia="Cambria" w:cs="Cambria" w:ascii="Cambria" w:hAnsi="Cambria"/>
          <w:b/>
          <w:u w:val="single"/>
        </w:rPr>
        <w:t>5. EVALUACIÓN INICIAL</w:t>
      </w:r>
    </w:p>
    <w:p>
      <w:pPr>
        <w:pStyle w:val="Normal"/>
        <w:tabs>
          <w:tab w:val="clear" w:pos="720"/>
          <w:tab w:val="left" w:pos="284" w:leader="none"/>
        </w:tabs>
        <w:ind w:firstLine="284"/>
        <w:jc w:val="both"/>
        <w:rPr/>
      </w:pPr>
      <w:r>
        <w:rPr>
          <w:sz w:val="22"/>
          <w:szCs w:val="22"/>
        </w:rPr>
        <w:t>El proceso de enseñanza y del aprendizaje de alumnos y alumnas se dirige hacia el logro de una serie de objetivos, lo que implica partir de un "estado inicial" (que debe conocerse) sobre el que se irán operando los cambios producidos por el proceso enseñanza-aprendizaje.</w:t>
      </w:r>
    </w:p>
    <w:p>
      <w:pPr>
        <w:pStyle w:val="Normal"/>
        <w:tabs>
          <w:tab w:val="clear" w:pos="720"/>
          <w:tab w:val="left" w:pos="284" w:leader="none"/>
        </w:tabs>
        <w:ind w:firstLine="284"/>
        <w:jc w:val="both"/>
        <w:rPr/>
      </w:pPr>
      <w:r>
        <w:rPr>
          <w:sz w:val="22"/>
          <w:szCs w:val="22"/>
        </w:rPr>
        <w:t>El conocimiento de los niveles, características y necesidades de los alumnos nos permitirán tomar una serie de decisiones relativas a:</w:t>
      </w:r>
    </w:p>
    <w:p>
      <w:pPr>
        <w:pStyle w:val="Normal"/>
        <w:numPr>
          <w:ilvl w:val="0"/>
          <w:numId w:val="2"/>
        </w:numPr>
        <w:tabs>
          <w:tab w:val="clear" w:pos="720"/>
          <w:tab w:val="left" w:pos="284" w:leader="none"/>
        </w:tabs>
        <w:spacing w:before="0" w:after="0"/>
        <w:ind w:left="284" w:hanging="0"/>
        <w:jc w:val="both"/>
        <w:rPr/>
      </w:pPr>
      <w:r>
        <w:rPr>
          <w:sz w:val="22"/>
          <w:szCs w:val="22"/>
        </w:rPr>
        <w:t>planificar y programar las actividades docentes.</w:t>
      </w:r>
    </w:p>
    <w:p>
      <w:pPr>
        <w:pStyle w:val="Normal"/>
        <w:numPr>
          <w:ilvl w:val="0"/>
          <w:numId w:val="2"/>
        </w:numPr>
        <w:tabs>
          <w:tab w:val="clear" w:pos="720"/>
          <w:tab w:val="left" w:pos="284" w:leader="none"/>
        </w:tabs>
        <w:spacing w:before="0" w:after="0"/>
        <w:ind w:left="284" w:hanging="0"/>
        <w:jc w:val="both"/>
        <w:rPr/>
      </w:pPr>
      <w:r>
        <w:rPr>
          <w:sz w:val="22"/>
          <w:szCs w:val="22"/>
        </w:rPr>
        <w:t>adoptar medidas de atención a la diversidad en el aula.</w:t>
      </w:r>
    </w:p>
    <w:p>
      <w:pPr>
        <w:pStyle w:val="Normal"/>
        <w:numPr>
          <w:ilvl w:val="0"/>
          <w:numId w:val="2"/>
        </w:numPr>
        <w:tabs>
          <w:tab w:val="clear" w:pos="720"/>
          <w:tab w:val="left" w:pos="284" w:leader="none"/>
        </w:tabs>
        <w:ind w:left="284" w:hanging="0"/>
        <w:jc w:val="both"/>
        <w:rPr/>
      </w:pPr>
      <w:r>
        <w:rPr>
          <w:sz w:val="22"/>
          <w:szCs w:val="22"/>
        </w:rPr>
        <w:t>metodologías a emplear.</w:t>
      </w:r>
    </w:p>
    <w:p>
      <w:pPr>
        <w:pStyle w:val="Normal"/>
        <w:tabs>
          <w:tab w:val="clear" w:pos="720"/>
          <w:tab w:val="left" w:pos="284" w:leader="none"/>
        </w:tabs>
        <w:ind w:firstLine="284"/>
        <w:jc w:val="both"/>
        <w:rPr/>
      </w:pPr>
      <w:r>
        <w:rPr>
          <w:sz w:val="22"/>
          <w:szCs w:val="22"/>
        </w:rPr>
        <w:t>El proceso de evaluación inicial exige que se atienda más a los posibles recursos y capacidades de los alumnos que a las posibles deficiencias que presenten, aunque sin olvidar éstas.</w:t>
      </w:r>
    </w:p>
    <w:p>
      <w:pPr>
        <w:pStyle w:val="Normal"/>
        <w:tabs>
          <w:tab w:val="clear" w:pos="720"/>
          <w:tab w:val="left" w:pos="284" w:leader="none"/>
        </w:tabs>
        <w:ind w:firstLine="284"/>
        <w:jc w:val="both"/>
        <w:rPr/>
      </w:pPr>
      <w:r>
        <w:rPr>
          <w:rFonts w:cs="Calibri" w:cstheme="minorHAnsi"/>
          <w:sz w:val="22"/>
          <w:szCs w:val="22"/>
        </w:rPr>
        <w:t>Desde este supuesto lo primero que conviene explorar y conocer son las actitudes de los alumnos frente a los contenidos de la materia. El conocimiento de estas actitudes proporcionará datos valiosos para organizar unas actividades que fomenten la "motivación por aprender" en los alumnos/as. Esta información se recogerá a partir de la observación de los intereses del alumnado durante los primeros días del curso por parte del docente.</w:t>
      </w:r>
    </w:p>
    <w:p>
      <w:pPr>
        <w:pStyle w:val="Normal"/>
        <w:tabs>
          <w:tab w:val="clear" w:pos="720"/>
          <w:tab w:val="left" w:pos="284" w:leader="none"/>
        </w:tabs>
        <w:ind w:firstLine="284"/>
        <w:jc w:val="both"/>
        <w:rPr/>
      </w:pPr>
      <w:r>
        <w:rPr>
          <w:rFonts w:cs="Calibri" w:cstheme="minorHAnsi"/>
          <w:sz w:val="22"/>
          <w:szCs w:val="22"/>
        </w:rPr>
        <w:t xml:space="preserve">En segundo lugar, interesa conocer el grado de dominio de cada alumno/a de los contenidos relacionados con la materia de cursos anteriores. En este sentido, el instrumento principal para la recogida de información de cara a la evaluación inicial será una prueba escrita que haga referencia principalmente a los contenidos de 3º de ESO (Física y Química), aunque también aparecen algunos de las materias de Matemáticas de 2º y 3º de ESO. </w:t>
      </w:r>
    </w:p>
    <w:p>
      <w:pPr>
        <w:pStyle w:val="Normal"/>
        <w:tabs>
          <w:tab w:val="clear" w:pos="720"/>
          <w:tab w:val="left" w:pos="284" w:leader="none"/>
        </w:tabs>
        <w:ind w:firstLine="284"/>
        <w:jc w:val="both"/>
        <w:rPr/>
      </w:pPr>
      <w:r>
        <w:rPr>
          <w:sz w:val="22"/>
          <w:szCs w:val="22"/>
        </w:rPr>
        <w:t xml:space="preserve"> </w:t>
      </w:r>
      <w:r>
        <w:rPr>
          <w:sz w:val="22"/>
          <w:szCs w:val="22"/>
        </w:rPr>
        <w:t>Esta prueba no tiene una finalidad clasificadora del alumnado, pero puede servir para la detección temprana de problemas y dificultades de aprendizaje en algunos alumnos/as.</w:t>
      </w:r>
    </w:p>
    <w:p>
      <w:pPr>
        <w:pStyle w:val="Normal"/>
        <w:tabs>
          <w:tab w:val="clear" w:pos="720"/>
          <w:tab w:val="left" w:pos="284" w:leader="none"/>
        </w:tabs>
        <w:ind w:firstLine="284"/>
        <w:jc w:val="both"/>
        <w:rPr/>
      </w:pPr>
      <w:r>
        <w:rPr>
          <w:sz w:val="22"/>
          <w:szCs w:val="22"/>
        </w:rPr>
        <w:t xml:space="preserve">Asimismo, es importante disponer de la información acumulada sobre el alumno/a a lo largo de su escolarización en el instituto, pudiéndose obtener de esta manera datos muy valiosos para la optimización del proceso enseñanza-aprendizaje. </w:t>
      </w:r>
    </w:p>
    <w:p>
      <w:pPr>
        <w:pStyle w:val="Normal"/>
        <w:tabs>
          <w:tab w:val="clear" w:pos="720"/>
          <w:tab w:val="left" w:pos="284" w:leader="none"/>
        </w:tabs>
        <w:ind w:firstLine="284"/>
        <w:jc w:val="both"/>
        <w:rPr/>
      </w:pPr>
      <w:r>
        <w:rPr>
          <w:sz w:val="22"/>
          <w:szCs w:val="22"/>
        </w:rPr>
        <w:t>En función de los datos que se obtengan de las diferentes fuentes de información indicadas se realizarán las siguientes acciones:</w:t>
      </w:r>
    </w:p>
    <w:p>
      <w:pPr>
        <w:pStyle w:val="Normal"/>
        <w:tabs>
          <w:tab w:val="clear" w:pos="720"/>
          <w:tab w:val="left" w:pos="284" w:leader="none"/>
        </w:tabs>
        <w:ind w:firstLine="567"/>
        <w:jc w:val="both"/>
        <w:rPr/>
      </w:pPr>
      <w:r>
        <w:rPr>
          <w:sz w:val="22"/>
          <w:szCs w:val="22"/>
        </w:rPr>
        <w:t>- Se establecerá el punto de partida del proceso de enseñanza-aprendizaje.</w:t>
      </w:r>
    </w:p>
    <w:p>
      <w:pPr>
        <w:pStyle w:val="Normal"/>
        <w:tabs>
          <w:tab w:val="clear" w:pos="720"/>
          <w:tab w:val="left" w:pos="284" w:leader="none"/>
        </w:tabs>
        <w:ind w:firstLine="567"/>
        <w:jc w:val="both"/>
        <w:rPr/>
      </w:pPr>
      <w:r>
        <w:rPr>
          <w:sz w:val="22"/>
          <w:szCs w:val="22"/>
        </w:rPr>
        <w:t xml:space="preserve"> </w:t>
      </w:r>
      <w:r>
        <w:rPr>
          <w:sz w:val="22"/>
          <w:szCs w:val="22"/>
        </w:rPr>
        <w:t>- Se adecuará el proceso de enseñanza a las características de los alumnos (tanto a nivel grupal como individual), diseñando las actividades de refuerzo para aquellos alumnos que lo necesiten.</w:t>
      </w:r>
    </w:p>
    <w:p>
      <w:pPr>
        <w:pStyle w:val="Normal"/>
        <w:tabs>
          <w:tab w:val="clear" w:pos="720"/>
          <w:tab w:val="left" w:pos="284" w:leader="none"/>
        </w:tabs>
        <w:ind w:firstLine="567"/>
        <w:jc w:val="both"/>
        <w:rPr/>
      </w:pPr>
      <w:r>
        <w:rPr>
          <w:sz w:val="22"/>
          <w:szCs w:val="22"/>
        </w:rPr>
        <w:t>- Se elaborarán las adaptaciones no significativas que sean precisas en colaboración con el departamento de Orientación.</w:t>
      </w:r>
    </w:p>
    <w:p>
      <w:pPr>
        <w:pStyle w:val="Normal"/>
        <w:tabs>
          <w:tab w:val="clear" w:pos="720"/>
          <w:tab w:val="left" w:pos="284" w:leader="none"/>
        </w:tabs>
        <w:ind w:firstLine="567"/>
        <w:jc w:val="both"/>
        <w:rPr/>
      </w:pPr>
      <w:r>
        <w:rPr>
          <w:rFonts w:eastAsia="Cambria" w:cs="Cambria" w:ascii="Cambria" w:hAnsi="Cambria"/>
          <w:sz w:val="22"/>
          <w:szCs w:val="22"/>
        </w:rPr>
        <w:t xml:space="preserve">- Se diseñará la metodología adecuada a la realidad y a los focos de interés de los alumnos/as del grupo. </w:t>
      </w:r>
    </w:p>
    <w:p>
      <w:pPr>
        <w:pStyle w:val="Normal"/>
        <w:jc w:val="both"/>
        <w:rPr/>
      </w:pPr>
      <w:r>
        <w:rPr>
          <w:rFonts w:eastAsia="Cambria" w:cs="Cambria" w:ascii="Cambria" w:hAnsi="Cambria"/>
          <w:b/>
          <w:u w:val="single"/>
        </w:rPr>
        <w:t>6. EVALUACIÓN EXTRAORDINARIA</w:t>
      </w:r>
    </w:p>
    <w:p>
      <w:pPr>
        <w:pStyle w:val="Normal"/>
        <w:jc w:val="both"/>
        <w:rPr/>
      </w:pPr>
      <w:r>
        <w:rPr>
          <w:rFonts w:eastAsia="Cambria" w:cs="Cambria"/>
          <w:sz w:val="22"/>
          <w:szCs w:val="22"/>
        </w:rPr>
        <w:t xml:space="preserve"> </w:t>
      </w:r>
      <w:r>
        <w:rPr>
          <w:rFonts w:eastAsia="Cambria" w:cs="Cambria"/>
          <w:b/>
          <w:bCs/>
          <w:sz w:val="22"/>
          <w:szCs w:val="22"/>
        </w:rPr>
        <w:t xml:space="preserve">Prueba extraordinaria: </w:t>
      </w:r>
      <w:r>
        <w:rPr>
          <w:rFonts w:eastAsia="Cambria" w:cs="Cambria"/>
          <w:sz w:val="22"/>
          <w:szCs w:val="22"/>
        </w:rPr>
        <w:t xml:space="preserve">Aquellos alumnos que no hayan alcanzado la nota de 5 en la convocatoria ordinaria realizarán un examen global de recuperación en la convocatoria extraordinaria de todo el curso basado en los saberes y criterios de evaluación  de la asignatura. </w:t>
      </w:r>
    </w:p>
    <w:p>
      <w:pPr>
        <w:pStyle w:val="Normal"/>
        <w:spacing w:before="0" w:after="120"/>
        <w:jc w:val="both"/>
        <w:rPr/>
      </w:pPr>
      <w:r>
        <w:rPr>
          <w:rFonts w:eastAsia="Cambria" w:cs="Cambria"/>
          <w:b/>
          <w:color w:val="auto"/>
          <w:sz w:val="22"/>
          <w:szCs w:val="22"/>
          <w:u w:val="single"/>
        </w:rPr>
        <w:t>Esta prueba extraordinaria se considerará superada cuando se haya obtenido una calificación igual o superior a cinco. La nota final de la materia sera la nota de esta prueba</w:t>
      </w:r>
    </w:p>
    <w:p>
      <w:pPr>
        <w:pStyle w:val="Normal"/>
        <w:jc w:val="both"/>
        <w:rPr>
          <w:rFonts w:ascii="Cambria" w:hAnsi="Cambria" w:eastAsia="Cambria" w:cs="Cambria"/>
          <w:b/>
          <w:b/>
          <w:u w:val="single"/>
        </w:rPr>
      </w:pPr>
      <w:r>
        <w:rPr>
          <w:rFonts w:eastAsia="Cambria" w:cs="Cambria" w:ascii="Cambria" w:hAnsi="Cambria"/>
          <w:b/>
          <w:u w:val="single"/>
        </w:rPr>
        <w:t>7. ACTUACIONES GENERALES DE ATENCIÓN A LAS DIFERENCIAS INDIVIDUALES</w:t>
      </w:r>
    </w:p>
    <w:p>
      <w:pPr>
        <w:pStyle w:val="Normal"/>
        <w:jc w:val="both"/>
        <w:rPr/>
      </w:pPr>
      <w:r>
        <w:rPr>
          <w:rFonts w:eastAsia="Cambria" w:cs="Calibri" w:cstheme="minorHAnsi"/>
          <w:sz w:val="22"/>
          <w:szCs w:val="22"/>
        </w:rPr>
        <w:t xml:space="preserve">La </w:t>
      </w:r>
      <w:r>
        <w:rPr>
          <w:rFonts w:cs="Calibri" w:cstheme="minorHAnsi"/>
          <w:bCs/>
          <w:sz w:val="22"/>
          <w:szCs w:val="22"/>
        </w:rPr>
        <w:t xml:space="preserve">Orden ECD/1172/2022 establece en su Artículo 36 que: </w:t>
      </w:r>
    </w:p>
    <w:p>
      <w:pPr>
        <w:pStyle w:val="Normal"/>
        <w:jc w:val="both"/>
        <w:rPr/>
      </w:pPr>
      <w:r>
        <w:rPr>
          <w:rFonts w:cs="Calibri" w:cstheme="minorHAnsi"/>
          <w:i/>
          <w:sz w:val="22"/>
          <w:szCs w:val="22"/>
        </w:rPr>
        <w:t>1. La Educación Secundaria Obligatoria se organizará de acuerdo con los principios de educación común y de atención a la diversidad del alumnado. Con objeto de reforzar la inclusión y asegurar el derecho a una educación de calidad, en esta etapa se pondrá especial énfasis en la atención individualizada a los alumnos y a las alumnas, en la detección precoz de sus necesidades específicas y en el establecimiento de mecanismos de apoyo y refuerzo para evitar la permanencia en un mismo curso, particularmente en entornos socialmente vulnerables y teniendo en cuenta sus circunstancias y sus diferentes ritmos de aprendizaje.</w:t>
      </w:r>
    </w:p>
    <w:p>
      <w:pPr>
        <w:pStyle w:val="Normal"/>
        <w:ind w:firstLine="397"/>
        <w:jc w:val="both"/>
        <w:rPr/>
      </w:pPr>
      <w:r>
        <w:rPr>
          <w:rFonts w:cs="Calibri" w:cstheme="minorHAnsi"/>
          <w:sz w:val="22"/>
          <w:szCs w:val="22"/>
        </w:rPr>
        <w:t xml:space="preserve">De forma que en cualquier caso se debe garantizar que todos los alumnos/as de cada grupo alcancen el máximo desarrollo posible de sus capacidades, utilizando para ello los medios que sean necesarios. En la materia de Física y Química en 1ºBCH se llevarán a cabo las siguientes estrategias para atender a la diversidad del alumnado: </w:t>
      </w:r>
    </w:p>
    <w:p>
      <w:pPr>
        <w:pStyle w:val="Normal"/>
        <w:numPr>
          <w:ilvl w:val="0"/>
          <w:numId w:val="3"/>
        </w:numPr>
        <w:jc w:val="both"/>
        <w:rPr/>
      </w:pPr>
      <w:r>
        <w:rPr>
          <w:rFonts w:cs="Calibri" w:cstheme="minorHAnsi"/>
          <w:sz w:val="22"/>
          <w:szCs w:val="22"/>
        </w:rPr>
        <w:t xml:space="preserve">Atención individualizada a cada alumno/a: el docente atenderá de forma individual a cada alumno/a durante las clases para orientarlo en sus aprendizajes, para resolver sus dudas y para estar al día de sus progresos. </w:t>
      </w:r>
    </w:p>
    <w:p>
      <w:pPr>
        <w:pStyle w:val="Normal"/>
        <w:numPr>
          <w:ilvl w:val="0"/>
          <w:numId w:val="3"/>
        </w:numPr>
        <w:jc w:val="both"/>
        <w:rPr/>
      </w:pPr>
      <w:r>
        <w:rPr>
          <w:rFonts w:cs="Calibri" w:cstheme="minorHAnsi"/>
          <w:sz w:val="22"/>
          <w:szCs w:val="22"/>
        </w:rPr>
        <w:t xml:space="preserve">Actividades de refuerzo: para aquellos alumnos/as que muestren dificultades en la adquisición de nuevos aprendizajes se propondrán actividades que sirvan para afianzar los contenidos mínimos de la materia. En este sentido, también se facilitarán a los alumnos/as hojas con ejercicios/problemas y sus soluciones para que puedan repasar de forma autónoma. </w:t>
      </w:r>
    </w:p>
    <w:p>
      <w:pPr>
        <w:pStyle w:val="Normal"/>
        <w:numPr>
          <w:ilvl w:val="0"/>
          <w:numId w:val="3"/>
        </w:numPr>
        <w:jc w:val="both"/>
        <w:rPr/>
      </w:pPr>
      <w:r>
        <w:rPr>
          <w:sz w:val="22"/>
          <w:szCs w:val="22"/>
        </w:rPr>
        <w:t xml:space="preserve">Actividades de ampliación: serán actividades que impliquen una profundización en los contenidos de la asignatura. Serán de carácter voluntario y su realización podrá implicar un aumento en la calificación de una evaluación de hasta medio punto. </w:t>
      </w:r>
    </w:p>
    <w:p>
      <w:pPr>
        <w:pStyle w:val="Normal"/>
        <w:tabs>
          <w:tab w:val="clear" w:pos="720"/>
          <w:tab w:val="left" w:pos="284" w:leader="none"/>
        </w:tabs>
        <w:ind w:firstLine="284"/>
        <w:jc w:val="both"/>
        <w:rPr/>
      </w:pPr>
      <w:r>
        <w:rPr>
          <w:sz w:val="22"/>
          <w:szCs w:val="22"/>
        </w:rPr>
        <w:t xml:space="preserve">Mientras que en referencia al alumnado con necesidad específica de apoyo educativo en la Orden ECD/1172/2022 se sostiene que: </w:t>
      </w:r>
    </w:p>
    <w:p>
      <w:pPr>
        <w:pStyle w:val="Normal"/>
        <w:tabs>
          <w:tab w:val="clear" w:pos="720"/>
          <w:tab w:val="left" w:pos="284" w:leader="none"/>
        </w:tabs>
        <w:ind w:firstLine="284"/>
        <w:jc w:val="both"/>
        <w:rPr/>
      </w:pPr>
      <w:r>
        <w:rPr>
          <w:i/>
          <w:sz w:val="22"/>
          <w:szCs w:val="22"/>
        </w:rPr>
        <w:t xml:space="preserve">Se adoptarán medidas curriculares y organizativas inclusivas para asegurar que el alumnado con necesidad específica de apoyo educativo pueda alcanzar los objetivos y las competencias de la etapa y el máximo desarrollo de sus capacidades personales. </w:t>
      </w:r>
    </w:p>
    <w:p>
      <w:pPr>
        <w:pStyle w:val="Normal"/>
        <w:tabs>
          <w:tab w:val="clear" w:pos="720"/>
          <w:tab w:val="left" w:pos="284" w:leader="none"/>
        </w:tabs>
        <w:ind w:firstLine="284"/>
        <w:jc w:val="both"/>
        <w:rPr/>
      </w:pPr>
      <w:r>
        <w:rPr>
          <w:rFonts w:eastAsia="Cambria" w:cs="Cambria" w:ascii="Cambria" w:hAnsi="Cambria"/>
          <w:sz w:val="22"/>
          <w:szCs w:val="22"/>
        </w:rPr>
        <w:t>Por tanto, para los alumnos ACNEAES se realizarán las adaptaciones que sean necesarias, tanto generales como específicas, de forma coordinada con el Departamento de Orientación del centro.  En el caso de que haya que elaborar actuaciones específicas de intervención educativa (adaptaciones significativas), se adaptarán los contenidos de la materia así como los criterios y los instrumentos de evaluación a la situación académica del alumno/a. En esos casos, tanto el departamento de Física y Química como el departamento de Orientación dispondrán de una copia de la actuación específica de intervención educativa de la materia.</w:t>
      </w:r>
    </w:p>
    <w:p>
      <w:pPr>
        <w:pStyle w:val="Normal"/>
        <w:jc w:val="both"/>
        <w:rPr/>
      </w:pPr>
      <w:r>
        <w:rPr>
          <w:rFonts w:eastAsia="Cambria" w:cs="Cambria" w:ascii="Cambria" w:hAnsi="Cambria"/>
          <w:b/>
          <w:u w:val="single"/>
        </w:rPr>
        <w:t>8. PLAN DE RECUPERACIÓN DE MATERIAS PENDIENTES</w:t>
      </w:r>
    </w:p>
    <w:p>
      <w:pPr>
        <w:pStyle w:val="Normal"/>
        <w:jc w:val="both"/>
        <w:rPr>
          <w:b w:val="false"/>
          <w:b w:val="false"/>
          <w:bCs w:val="false"/>
          <w:u w:val="none"/>
        </w:rPr>
      </w:pPr>
      <w:r>
        <w:rPr>
          <w:rFonts w:eastAsia="Cambria" w:cs="Cambria" w:ascii="Cambria" w:hAnsi="Cambria"/>
          <w:b w:val="false"/>
          <w:bCs w:val="false"/>
          <w:u w:val="none"/>
        </w:rPr>
        <w:t xml:space="preserve">En este curso los alumnos no tienen materias pendientes </w:t>
      </w:r>
    </w:p>
    <w:p>
      <w:pPr>
        <w:pStyle w:val="Normal"/>
        <w:jc w:val="both"/>
        <w:rPr>
          <w:rFonts w:ascii="Cambria" w:hAnsi="Cambria" w:eastAsia="Cambria" w:cs="Cambria"/>
          <w:b/>
          <w:b/>
          <w:u w:val="single"/>
        </w:rPr>
      </w:pPr>
      <w:r>
        <w:rPr>
          <w:rFonts w:eastAsia="Cambria" w:cs="Cambria" w:ascii="Cambria" w:hAnsi="Cambria"/>
          <w:b/>
          <w:u w:val="single"/>
        </w:rPr>
        <w:t>9. ESTRATEGIAS DIDÁCTICAS Y METODOLÓGICAS.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Las normas y la convivencia en el aula.</w:t>
      </w:r>
    </w:p>
    <w:p>
      <w:pPr>
        <w:pStyle w:val="Normal"/>
        <w:jc w:val="both"/>
        <w:rPr/>
      </w:pPr>
      <w:r>
        <w:rPr>
          <w:rFonts w:cs="Arial"/>
          <w:sz w:val="22"/>
          <w:szCs w:val="22"/>
        </w:rPr>
        <w:t>Para que el trabajo en el aula favorezca el aprendizaje indispensable un ambiente que lo propicie y facilite, se consensuarán en los primeros días unas normas de convivencia. La no imposición y el consenso tienen como objetivo que cada alumno haga suyas esas normas y se sienta partícipe de la vida de la clase y co-responsable del buen funcionamiento de la misma. Se velará durante todo el curso por el mantenimiento de un clima de armonía, respeto, cooperación y convivencia entre todos los miembros del grupo. Un lugar donde los alumnos se encuentren libres y puedan expresarse es un vehículo imprescindible para un buen aprendizaje.</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El aula como comunidad de aprendizaje.</w:t>
      </w:r>
    </w:p>
    <w:p>
      <w:pPr>
        <w:pStyle w:val="Normal"/>
        <w:jc w:val="both"/>
        <w:rPr/>
      </w:pPr>
      <w:r>
        <w:rPr>
          <w:rFonts w:cs="Arial"/>
          <w:sz w:val="22"/>
          <w:szCs w:val="22"/>
        </w:rPr>
        <w:t xml:space="preserve">El grupo se enriquece con las aportaciones individuales de cada uno de sus miembros, por lo que todos ellos tendrán cabida en el aula, favoreciendo la interiorización de los aprendizajes mediante su conexión con la experiencia vital cotidiana. Se propiciarán entre los alumnos actitudes como la ayuda, el apoyo, la escucha o la inclusión. Todos aprendemos de todos.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Protagonismo del alumno en la actividad.</w:t>
      </w:r>
    </w:p>
    <w:p>
      <w:pPr>
        <w:pStyle w:val="Normal"/>
        <w:jc w:val="both"/>
        <w:rPr/>
      </w:pPr>
      <w:r>
        <w:rPr>
          <w:rFonts w:cs="Arial"/>
          <w:sz w:val="22"/>
          <w:szCs w:val="22"/>
        </w:rPr>
        <w:t>Se favorecerá la integración activa de cada alumno, su motivación y autoestima, haciendo de la clase un lugar de encuentro en el que se sienta cómodo, relajado e importante, en el que pueda manifestar sus sugerencias e inquietudes en un marco de respeto, colaboración y cordialidad, y en el que se sienta con ganas de aprender. Se consideran fundamentales tanto su trabajo de estudio diario e individual fuera del aula, como su participación en el desarrollo de las sesiones.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Reconocimiento y potenciación de las habilidades del alumno.</w:t>
      </w:r>
    </w:p>
    <w:p>
      <w:pPr>
        <w:pStyle w:val="Normal"/>
        <w:jc w:val="both"/>
        <w:rPr/>
      </w:pPr>
      <w:r>
        <w:rPr>
          <w:rFonts w:cs="Arial"/>
          <w:sz w:val="22"/>
          <w:szCs w:val="22"/>
        </w:rPr>
        <w:t>Se hará más énfasis en las capacidades y fortalezas de los alumnos que en sus dificultades, definiendo así las metas en positivo, generando recursos para alcanzarlas, y ganando en seguridad y motivación de logro de las expectativas. Los obstáculos y los conflictos se plantean como oportunidades de crecimiento.</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Partir de los conocimientos previos de los alumnos.</w:t>
      </w:r>
    </w:p>
    <w:p>
      <w:pPr>
        <w:pStyle w:val="Normal"/>
        <w:jc w:val="both"/>
        <w:rPr/>
      </w:pPr>
      <w:r>
        <w:rPr>
          <w:rFonts w:cs="Arial"/>
          <w:sz w:val="22"/>
          <w:szCs w:val="22"/>
        </w:rPr>
        <w:t>Al comienzo de cada unidad de trabajo se realizarán cuestiones orales y pruebas de “puesta a punto”, que estarán encaminadas, por un lado, a detectar los conocimientos previos que el alumno posee y, por otro, a activar esos conocimientos. Estas actividades permitirán además adaptar el trabajo sobre las unidades didácticas.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Contextualización de los aprendizajes.</w:t>
      </w:r>
    </w:p>
    <w:p>
      <w:pPr>
        <w:pStyle w:val="Normal"/>
        <w:jc w:val="both"/>
        <w:rPr/>
      </w:pPr>
      <w:r>
        <w:rPr>
          <w:rFonts w:cs="Arial"/>
          <w:sz w:val="22"/>
          <w:szCs w:val="22"/>
        </w:rPr>
        <w:t>Al enmarcarse la actividad dentro de un contexto, el alumno entenderá que su realización es necesaria como vía para encontrar respuestas a preguntas o problemas previamente planteados. Se facilitará la capacidad de transferir los aprendizajes a situaciones cercanas a la realidad y, por lo tanto, complejas. Se busca de esta manera una progresiva adquisición de competencias para la vida.</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Interdisciplinariedad.</w:t>
      </w:r>
    </w:p>
    <w:p>
      <w:pPr>
        <w:pStyle w:val="Normal"/>
        <w:jc w:val="both"/>
        <w:rPr/>
      </w:pPr>
      <w:r>
        <w:rPr>
          <w:rFonts w:cs="Arial"/>
          <w:spacing w:val="-3"/>
          <w:sz w:val="22"/>
          <w:szCs w:val="22"/>
        </w:rPr>
        <w:t>Es necesario mostrar los contenidos relacionados, tanto entre los diversos bloques componentes de cada una de las materias, como entre ellas. Es necesario aprender a intervenir en situaciones de la realidad complejas, donde se da una interrelación de diversos fenómenos de forma simultánea y nunca parcelada.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Ritmos de aprendizaje.</w:t>
      </w:r>
    </w:p>
    <w:p>
      <w:pPr>
        <w:pStyle w:val="Normal"/>
        <w:jc w:val="both"/>
        <w:rPr/>
      </w:pPr>
      <w:r>
        <w:rPr>
          <w:rFonts w:cs="Arial"/>
          <w:sz w:val="22"/>
          <w:szCs w:val="22"/>
        </w:rPr>
        <w:t xml:space="preserve">El proceso educativo es en sí mismo un proceso lento, que hay que mimar y cuidar. No existen las mejoras inmediatas. Son necesarias acciones continuadas y sostenidas en el tiempo. La </w:t>
      </w:r>
      <w:r>
        <w:rPr>
          <w:rFonts w:cs="Arial"/>
          <w:b/>
          <w:sz w:val="22"/>
          <w:szCs w:val="22"/>
        </w:rPr>
        <w:t>atención a la diversidad</w:t>
      </w:r>
      <w:r>
        <w:rPr>
          <w:rFonts w:cs="Arial"/>
          <w:sz w:val="22"/>
          <w:szCs w:val="22"/>
        </w:rPr>
        <w:t xml:space="preserve">, a la que dedico otro apartado, se asienta sobre estos principios. Pero el ritmo de la clase nunca deben marcarlos los alumnos que no trabajan, pues estos no adquieren competencias, ni alcanzan contenidos y no logran los objetivos principalmente por su falta de trabajo. Intentaremos motivarles y reengancharlos. Debido a esto el ritmo de la clase la marcaran los alumnos que trabajen en el día a día.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Secuenciación progresiva y cíclica de los contenidos.</w:t>
      </w:r>
    </w:p>
    <w:p>
      <w:pPr>
        <w:pStyle w:val="Normal"/>
        <w:jc w:val="both"/>
        <w:rPr/>
      </w:pPr>
      <w:r>
        <w:rPr>
          <w:rFonts w:cs="Arial"/>
          <w:sz w:val="22"/>
          <w:szCs w:val="22"/>
        </w:rPr>
        <w:t>En relación al epígrafe anterior, las actividades irán organizadas y secuenciadas en función de los objetivos propuestos, del tema tratado, y de las dificultades y progresos observados en el alumnado. Se retomarán periódicamente ciertos contenidos considerados clave para facilitar su adquisición por parte de todos.</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del profesor.</w:t>
      </w:r>
    </w:p>
    <w:p>
      <w:pPr>
        <w:pStyle w:val="Normal"/>
        <w:jc w:val="both"/>
        <w:rPr/>
      </w:pPr>
      <w:r>
        <w:rPr>
          <w:rFonts w:cs="Arial"/>
          <w:sz w:val="22"/>
          <w:szCs w:val="22"/>
        </w:rPr>
        <w:t>Es organizador y animador de las diversas situaciones de aprendizaje, facilitando la adquisición significativa de conocimientos y competencias, y ayudando a crear una atmósfera adecuada de trabajo. Busca la implicación de los alumnos y los guía individualmente y como grupo en su proceso educativo. Genera confianza, potencia el diálogo y la manifestación libre y respetuosa de opiniones, favorece la integración y participación de todos los alumnos, atiende los diversos ritmos y estilos de aprendizaje, estimula, asesora y orienta. Propicia y mantiene el orden, y asegura el cumplimiento de las normas de convivencia del centro y del aula.</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El papel de las familias.</w:t>
      </w:r>
    </w:p>
    <w:p>
      <w:pPr>
        <w:pStyle w:val="Normal"/>
        <w:jc w:val="both"/>
        <w:rPr/>
      </w:pPr>
      <w:r>
        <w:rPr>
          <w:rFonts w:cs="Arial"/>
          <w:sz w:val="22"/>
          <w:szCs w:val="22"/>
        </w:rPr>
        <w:t>Familia y escuela, aunque de forma preeminente la primera, son los agentes protagonistas de la educación de los alumnos, de ahí la necesidad de trabajar conjuntamente y en la misma dirección. Se mantendrá por ello una comunicación fluida con las familias y se intentara la participación de los padres en los grupos interactivos mediante un banco de voluntarios organizado por el AMPA</w:t>
      </w:r>
      <w:r>
        <w:rPr>
          <w:rStyle w:val="Ancladenotaalpie"/>
          <w:rFonts w:cs="Arial"/>
          <w:sz w:val="22"/>
          <w:szCs w:val="22"/>
        </w:rPr>
        <w:footnoteReference w:id="2"/>
      </w:r>
      <w:r>
        <w:rPr>
          <w:rFonts w:cs="Arial"/>
          <w:sz w:val="22"/>
          <w:szCs w:val="22"/>
        </w:rPr>
        <w:t xml:space="preserve">. </w:t>
      </w:r>
    </w:p>
    <w:p>
      <w:pPr>
        <w:pStyle w:val="Ttulo3"/>
        <w:keepNext w:val="false"/>
        <w:keepLines w:val="false"/>
        <w:numPr>
          <w:ilvl w:val="0"/>
          <w:numId w:val="0"/>
        </w:numPr>
        <w:spacing w:lineRule="auto" w:line="360" w:before="0" w:after="0"/>
        <w:ind w:left="567" w:hanging="567"/>
        <w:contextualSpacing/>
        <w:mirrorIndents/>
        <w:jc w:val="both"/>
        <w:rPr/>
      </w:pPr>
      <w:r>
        <w:rPr>
          <w:sz w:val="22"/>
          <w:szCs w:val="22"/>
        </w:rPr>
        <w:t>Las nuevas tecnologías.</w:t>
      </w:r>
    </w:p>
    <w:p>
      <w:pPr>
        <w:pStyle w:val="Normal"/>
        <w:jc w:val="both"/>
        <w:rPr/>
      </w:pPr>
      <w:r>
        <w:rPr>
          <w:rFonts w:cs="Arial"/>
          <w:sz w:val="22"/>
          <w:szCs w:val="22"/>
        </w:rPr>
        <w:t xml:space="preserve">Es un medio motivador pues estamos ante una generación eminentemente visual y tecnóloga. La utilización de pequeños videos y/o applets, presentaciones, redes sociales, whasapp, plataforma educativa classroom, etc, nos ayudara a hacer el proceso de aprendizaje más ameno y motivador. </w:t>
      </w:r>
    </w:p>
    <w:p>
      <w:pPr>
        <w:pStyle w:val="Ttulo2"/>
        <w:keepNext w:val="false"/>
        <w:keepLines w:val="false"/>
        <w:numPr>
          <w:ilvl w:val="0"/>
          <w:numId w:val="0"/>
        </w:numPr>
        <w:spacing w:lineRule="auto" w:line="360" w:before="0" w:after="0"/>
        <w:ind w:left="432" w:hanging="432"/>
        <w:contextualSpacing/>
        <w:mirrorIndents/>
        <w:jc w:val="both"/>
        <w:rPr/>
      </w:pPr>
      <w:bookmarkStart w:id="2" w:name="_Toc76513200"/>
      <w:r>
        <w:rPr>
          <w:sz w:val="22"/>
          <w:szCs w:val="22"/>
        </w:rPr>
        <w:t>Diversidad de las formas de clase.</w:t>
      </w:r>
      <w:bookmarkEnd w:id="2"/>
    </w:p>
    <w:p>
      <w:pPr>
        <w:pStyle w:val="Normal"/>
        <w:jc w:val="both"/>
        <w:rPr/>
      </w:pPr>
      <w:r>
        <w:rPr>
          <w:rFonts w:cs="Arial"/>
          <w:sz w:val="22"/>
          <w:szCs w:val="22"/>
        </w:rPr>
        <w:t>Las actividades programadas, serán variadas.</w:t>
      </w:r>
    </w:p>
    <w:p>
      <w:pPr>
        <w:pStyle w:val="Ttulo3"/>
        <w:keepNext w:val="false"/>
        <w:keepLines w:val="false"/>
        <w:numPr>
          <w:ilvl w:val="0"/>
          <w:numId w:val="0"/>
        </w:numPr>
        <w:spacing w:lineRule="auto" w:line="360" w:before="0" w:after="0"/>
        <w:ind w:left="0" w:hanging="0"/>
        <w:contextualSpacing/>
        <w:mirrorIndents/>
        <w:jc w:val="both"/>
        <w:rPr/>
      </w:pPr>
      <w:r>
        <w:rPr>
          <w:sz w:val="22"/>
          <w:szCs w:val="22"/>
        </w:rPr>
        <w:t>Clase magistra</w:t>
      </w:r>
      <w:r>
        <w:rPr>
          <w:b w:val="false"/>
          <w:sz w:val="22"/>
          <w:szCs w:val="22"/>
        </w:rPr>
        <w:t>l</w:t>
      </w:r>
      <w:r>
        <w:rPr>
          <w:sz w:val="22"/>
          <w:szCs w:val="22"/>
        </w:rPr>
        <w:t xml:space="preserve">, </w:t>
      </w:r>
    </w:p>
    <w:p>
      <w:pPr>
        <w:pStyle w:val="Normal"/>
        <w:jc w:val="both"/>
        <w:rPr/>
      </w:pPr>
      <w:r>
        <w:rPr>
          <w:rFonts w:cs="Arial"/>
          <w:sz w:val="22"/>
          <w:szCs w:val="22"/>
        </w:rPr>
        <w:t xml:space="preserve">Teniendo en cuanta que esta comunicación debe ser lo más interactiva posible, y que siempre que se puede se seguirá la secuenciación, Motivar-Repasar-Desarrollar-Asentar las posibilidades de desarrollo de la materia son: </w:t>
      </w:r>
    </w:p>
    <w:p>
      <w:pPr>
        <w:pStyle w:val="ListParagraph"/>
        <w:numPr>
          <w:ilvl w:val="0"/>
          <w:numId w:val="5"/>
        </w:numPr>
        <w:ind w:left="284" w:hanging="284"/>
        <w:jc w:val="both"/>
        <w:rPr/>
      </w:pPr>
      <w:r>
        <w:rPr>
          <w:rFonts w:cs="Arial" w:ascii="Calibri" w:hAnsi="Calibri"/>
          <w:sz w:val="22"/>
          <w:szCs w:val="22"/>
        </w:rPr>
        <w:t>Introducción con algún soporte visual.</w:t>
      </w:r>
    </w:p>
    <w:p>
      <w:pPr>
        <w:pStyle w:val="ListParagraph"/>
        <w:numPr>
          <w:ilvl w:val="0"/>
          <w:numId w:val="5"/>
        </w:numPr>
        <w:ind w:left="284" w:hanging="284"/>
        <w:jc w:val="both"/>
        <w:rPr/>
      </w:pPr>
      <w:r>
        <w:rPr>
          <w:rFonts w:cs="Arial" w:ascii="Calibri" w:hAnsi="Calibri"/>
          <w:sz w:val="22"/>
          <w:szCs w:val="22"/>
        </w:rPr>
        <w:t>Utilización de prácticas magistrales reales o en video.</w:t>
      </w:r>
    </w:p>
    <w:p>
      <w:pPr>
        <w:pStyle w:val="ListParagraph"/>
        <w:numPr>
          <w:ilvl w:val="0"/>
          <w:numId w:val="5"/>
        </w:numPr>
        <w:ind w:left="284" w:hanging="284"/>
        <w:jc w:val="both"/>
        <w:rPr/>
      </w:pPr>
      <w:r>
        <w:rPr>
          <w:rFonts w:cs="Arial" w:ascii="Calibri" w:hAnsi="Calibri"/>
          <w:sz w:val="22"/>
          <w:szCs w:val="22"/>
        </w:rPr>
        <w:t xml:space="preserve">Proponer la resolución de ejercicios. </w:t>
      </w:r>
    </w:p>
    <w:p>
      <w:pPr>
        <w:pStyle w:val="ListParagraph"/>
        <w:numPr>
          <w:ilvl w:val="0"/>
          <w:numId w:val="5"/>
        </w:numPr>
        <w:ind w:left="284" w:hanging="284"/>
        <w:jc w:val="both"/>
        <w:rPr/>
      </w:pPr>
      <w:r>
        <w:rPr>
          <w:rFonts w:cs="Arial" w:ascii="Calibri" w:hAnsi="Calibri"/>
          <w:sz w:val="22"/>
          <w:szCs w:val="22"/>
        </w:rPr>
        <w:t xml:space="preserve">Resolución de problemas. Algún problema se soluciona con errores. Con esto queremos dos cosas, que estén atentos en clase y no se limiten solo a copiar y sobre todo, que vean que de los errores se aprende. </w:t>
      </w:r>
    </w:p>
    <w:p>
      <w:pPr>
        <w:pStyle w:val="ListParagraph"/>
        <w:numPr>
          <w:ilvl w:val="0"/>
          <w:numId w:val="5"/>
        </w:numPr>
        <w:ind w:left="284" w:hanging="284"/>
        <w:jc w:val="both"/>
        <w:rPr/>
      </w:pPr>
      <w:r>
        <w:rPr>
          <w:rFonts w:cs="Arial" w:ascii="Calibri" w:hAnsi="Calibri"/>
          <w:sz w:val="22"/>
          <w:szCs w:val="22"/>
        </w:rPr>
        <w:t xml:space="preserve">Explicación en la pizarra. </w:t>
      </w:r>
    </w:p>
    <w:p>
      <w:pPr>
        <w:pStyle w:val="ListParagraph"/>
        <w:numPr>
          <w:ilvl w:val="0"/>
          <w:numId w:val="5"/>
        </w:numPr>
        <w:ind w:left="284" w:hanging="284"/>
        <w:jc w:val="both"/>
        <w:rPr/>
      </w:pPr>
      <w:r>
        <w:rPr>
          <w:rFonts w:cs="Arial" w:ascii="Calibri" w:hAnsi="Calibri"/>
          <w:sz w:val="22"/>
          <w:szCs w:val="22"/>
        </w:rPr>
        <w:t>Descubrimiento de alguna parte teórica por los alumnos con la guía del profesor, utilizando conocimientos y capacidades que poseen.</w:t>
      </w:r>
    </w:p>
    <w:p>
      <w:pPr>
        <w:pStyle w:val="ListParagraph"/>
        <w:numPr>
          <w:ilvl w:val="0"/>
          <w:numId w:val="5"/>
        </w:numPr>
        <w:ind w:left="284" w:hanging="284"/>
        <w:jc w:val="both"/>
        <w:rPr/>
      </w:pPr>
      <w:r>
        <w:rPr>
          <w:rFonts w:cs="Arial" w:ascii="Calibri" w:hAnsi="Calibri"/>
          <w:sz w:val="22"/>
          <w:szCs w:val="22"/>
        </w:rPr>
        <w:t>Multitud de preguntas para ver su nivel de comprensión y de seguimiento.</w:t>
      </w:r>
    </w:p>
    <w:p>
      <w:pPr>
        <w:pStyle w:val="ListParagraph"/>
        <w:numPr>
          <w:ilvl w:val="0"/>
          <w:numId w:val="5"/>
        </w:numPr>
        <w:ind w:left="284" w:hanging="284"/>
        <w:jc w:val="both"/>
        <w:rPr/>
      </w:pPr>
      <w:r>
        <w:rPr>
          <w:rFonts w:cs="Arial" w:ascii="Calibri" w:hAnsi="Calibri"/>
          <w:sz w:val="22"/>
          <w:szCs w:val="22"/>
        </w:rPr>
        <w:t>Seguimiento de una presentación con ejercicios y ejemplos integrados.</w:t>
      </w:r>
    </w:p>
    <w:p>
      <w:pPr>
        <w:pStyle w:val="ListParagraph"/>
        <w:numPr>
          <w:ilvl w:val="0"/>
          <w:numId w:val="5"/>
        </w:numPr>
        <w:ind w:left="284" w:hanging="284"/>
        <w:jc w:val="both"/>
        <w:rPr/>
      </w:pPr>
      <w:r>
        <w:rPr>
          <w:rFonts w:cs="Arial" w:ascii="Calibri" w:hAnsi="Calibri"/>
          <w:sz w:val="22"/>
          <w:szCs w:val="22"/>
        </w:rPr>
        <w:t xml:space="preserve">Cuestiones o problemas resueltos por los alumnos en clase, con la posibilidad de preguntar todas sus dudas de forma individual.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Clase Invertida. </w:t>
      </w:r>
    </w:p>
    <w:p>
      <w:pPr>
        <w:pStyle w:val="ListParagraph"/>
        <w:ind w:left="0" w:hanging="0"/>
        <w:jc w:val="both"/>
        <w:rPr/>
      </w:pPr>
      <w:r>
        <w:rPr>
          <w:rFonts w:cs="Arial" w:ascii="Calibri" w:hAnsi="Calibri"/>
          <w:sz w:val="22"/>
          <w:szCs w:val="22"/>
        </w:rPr>
        <w:t xml:space="preserve">En alguna parte de las unidades didácticas se les manda un texto o textos a leer, simulaciones, videos para trabajar en casa y al día siguiente en clase se empieza resolviendo problemas o cuestiones sobre lo trabajado en casa </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Grupos interactivos. </w:t>
      </w:r>
    </w:p>
    <w:p>
      <w:pPr>
        <w:pStyle w:val="ListParagraph"/>
        <w:ind w:left="0" w:hanging="0"/>
        <w:jc w:val="both"/>
        <w:rPr/>
      </w:pPr>
      <w:r>
        <w:rPr>
          <w:rFonts w:cs="Arial" w:ascii="Calibri" w:hAnsi="Calibri"/>
          <w:sz w:val="22"/>
          <w:szCs w:val="22"/>
        </w:rPr>
        <w:t>Se realizan grupos heterogéneos con un adulto para facilitar el aprendizaje pues un uso correcto de la comunicación facilita la comprensión. Estos grupos está demostrado que son buenos para los alumnos, pues al verse forzados a explicar, interiorizan mejor lo aprendido y los alumnos que van peor al tener una comunicación de los contenidos en un nivel más próximo ven favorecida la comprensión de los contenidos.</w:t>
      </w:r>
    </w:p>
    <w:p>
      <w:pPr>
        <w:pStyle w:val="Ttulo3"/>
        <w:keepNext w:val="false"/>
        <w:keepLines w:val="false"/>
        <w:numPr>
          <w:ilvl w:val="0"/>
          <w:numId w:val="0"/>
        </w:numPr>
        <w:spacing w:lineRule="auto" w:line="360" w:before="0" w:after="0"/>
        <w:ind w:left="1224" w:hanging="504"/>
        <w:contextualSpacing/>
        <w:mirrorIndents/>
        <w:jc w:val="both"/>
        <w:rPr/>
      </w:pPr>
      <w:r>
        <w:rPr>
          <w:sz w:val="22"/>
          <w:szCs w:val="22"/>
        </w:rPr>
        <w:t xml:space="preserve">Laboratorio, </w:t>
      </w:r>
    </w:p>
    <w:p>
      <w:pPr>
        <w:pStyle w:val="ListParagraph"/>
        <w:ind w:left="0" w:hanging="0"/>
        <w:jc w:val="both"/>
        <w:rPr/>
      </w:pPr>
      <w:r>
        <w:rPr>
          <w:rFonts w:cs="Arial" w:ascii="Calibri" w:hAnsi="Calibri"/>
          <w:sz w:val="22"/>
          <w:szCs w:val="22"/>
        </w:rPr>
        <w:t xml:space="preserve">Uso de experiencias diseñadas para entender mejor lo aprendido, ver la parte experimental de la Química, trabajar en pareja y elaborar el guion de prácticas. Esto les sirve para aprender y como agente motivador. La Química es una ciencia experimental y la adquisición de conocimientos debe estar ligada a la práctica en un laboratorio. Se utiliza el laboratorio para afianzar contenidos, si llevamos pequeñas practicas a clase la utilidad es aclarar ideas o plantear problemas iniciales. La elaboración de los guiones de prácticas les ayuda a expresarse de forma científica adecuada. Se entregara un documento con las pautas para realizar de forma correcta un buen guion de prácticas y las normas del laboratorio. </w:t>
      </w:r>
    </w:p>
    <w:p>
      <w:pPr>
        <w:pStyle w:val="Normal"/>
        <w:tabs>
          <w:tab w:val="clear" w:pos="720"/>
          <w:tab w:val="left" w:pos="284" w:leader="none"/>
        </w:tabs>
        <w:ind w:firstLine="284"/>
        <w:jc w:val="both"/>
        <w:rPr/>
      </w:pPr>
      <w:r>
        <w:rPr>
          <w:rFonts w:eastAsia="Cambria" w:cs="Arial"/>
          <w:color w:val="000000"/>
          <w:sz w:val="22"/>
          <w:szCs w:val="22"/>
        </w:rPr>
        <w:t>No obstante, se potenciarán principalmente las actividades que se encaminen a un desarrollo autónomo del alumno. Se utilizarán, asimismo, diversos recursos (libros de texto, fotocopias, medios de comunicación, Internet, presentaciones,…)</w:t>
      </w:r>
    </w:p>
    <w:p>
      <w:pPr>
        <w:pStyle w:val="Normal"/>
        <w:jc w:val="both"/>
        <w:rPr>
          <w:rFonts w:ascii="Cambria" w:hAnsi="Cambria" w:eastAsia="Cambria" w:cs="Cambria"/>
          <w:b/>
          <w:b/>
          <w:u w:val="single"/>
        </w:rPr>
      </w:pPr>
      <w:r>
        <w:rPr>
          <w:rFonts w:eastAsia="Cambria" w:cs="Cambria" w:ascii="Cambria" w:hAnsi="Cambria"/>
          <w:b/>
          <w:u w:val="single"/>
        </w:rPr>
        <w:t>10. CONCRECIÓN DEL PLAN DE IMPLEMENTACIÓN DE ELEMENTOS TRANSVERSALES</w:t>
      </w:r>
    </w:p>
    <w:p>
      <w:pPr>
        <w:pStyle w:val="Normal"/>
        <w:tabs>
          <w:tab w:val="clear" w:pos="720"/>
          <w:tab w:val="left" w:pos="284" w:leader="none"/>
        </w:tabs>
        <w:ind w:firstLine="284"/>
        <w:jc w:val="both"/>
        <w:rPr/>
      </w:pPr>
      <w:r>
        <w:rPr>
          <w:sz w:val="22"/>
          <w:szCs w:val="22"/>
        </w:rPr>
        <w:t xml:space="preserve">Dado que es fundamental la competencia en comunicación lingüística en la formación del alumnado, en el Plan Lector específico de la materia de Física y Química </w:t>
      </w:r>
    </w:p>
    <w:p>
      <w:pPr>
        <w:pStyle w:val="Normal"/>
        <w:numPr>
          <w:ilvl w:val="0"/>
          <w:numId w:val="4"/>
        </w:numPr>
        <w:tabs>
          <w:tab w:val="clear" w:pos="720"/>
          <w:tab w:val="left" w:pos="284" w:leader="none"/>
        </w:tabs>
        <w:jc w:val="both"/>
        <w:rPr/>
      </w:pPr>
      <w:r>
        <w:rPr>
          <w:sz w:val="22"/>
          <w:szCs w:val="22"/>
        </w:rPr>
        <w:t xml:space="preserve">Lectura de textos relacionados con el conocimiento científico y las relaciones entre ciencia, tecnología y sociedad. Posteriormente se realizarán actividades de comprensión, así como el planteamiento de preguntas relacionadas con el texto que puedan afectar a la vida cotidiana de los alumnos/as o que puedan suscitar determinados debates. </w:t>
      </w:r>
    </w:p>
    <w:p>
      <w:pPr>
        <w:pStyle w:val="Normal"/>
        <w:numPr>
          <w:ilvl w:val="0"/>
          <w:numId w:val="4"/>
        </w:numPr>
        <w:tabs>
          <w:tab w:val="clear" w:pos="720"/>
          <w:tab w:val="left" w:pos="284" w:leader="none"/>
        </w:tabs>
        <w:jc w:val="both"/>
        <w:rPr/>
      </w:pPr>
      <w:r>
        <w:rPr>
          <w:sz w:val="22"/>
          <w:szCs w:val="22"/>
        </w:rPr>
        <w:t xml:space="preserve">Se leerán en determinadas unidades didácticas fragmentos de libros de divulgación científica facilitados por el docente. Estos fragmentos abordan algunos de los contenidos de la asignatura de una forma diferente y amena, pudiendo suscitar el interés por la lectura de dichos libros fuera del horario escolar por parte de los alumnos/as. En esta línea, resultan especialmente interesantes las biografías de grandes científicos/as como Marie Curie y Antoine-Laurent Lavoisier. Dado que algunos ejemplares de este tipo de libros se encuentran disponibles en la biblioteca del centro, se podrá considerar como una actividad de ampliación voluntaria la lectura y comprensión de algunos capítulos de estos ejemplares. </w:t>
      </w:r>
    </w:p>
    <w:p>
      <w:pPr>
        <w:pStyle w:val="Normal"/>
        <w:tabs>
          <w:tab w:val="clear" w:pos="720"/>
          <w:tab w:val="left" w:pos="284" w:leader="none"/>
        </w:tabs>
        <w:ind w:firstLine="284"/>
        <w:jc w:val="both"/>
        <w:rPr/>
      </w:pPr>
      <w:r>
        <w:rPr>
          <w:rFonts w:eastAsia="Cambria" w:cs="Cambria" w:ascii="Cambria" w:hAnsi="Cambria"/>
          <w:sz w:val="22"/>
          <w:szCs w:val="22"/>
        </w:rPr>
        <w:t>La presentación de los trabajos tanto escritos como orales se realizará siguiendo las pautas y recomendaciones recogidas en el Proyecto Lingüístico del centro.</w:t>
      </w:r>
    </w:p>
    <w:p>
      <w:pPr>
        <w:pStyle w:val="Normal"/>
        <w:jc w:val="both"/>
        <w:rPr>
          <w:rFonts w:ascii="Cambria" w:hAnsi="Cambria" w:eastAsia="Cambria" w:cs="Cambria"/>
        </w:rPr>
      </w:pPr>
      <w:r>
        <w:rPr>
          <w:rFonts w:eastAsia="Cambria" w:cs="Cambria" w:ascii="Cambria" w:hAnsi="Cambria"/>
          <w:b/>
          <w:u w:val="single"/>
        </w:rPr>
        <w:t>11. CONCRECIÓN DEL PLAN DE UTILIZACIÓN DE LAS TECNOLOGÍAS DIGITALES</w:t>
      </w:r>
      <w:r>
        <w:rPr>
          <w:rFonts w:eastAsia="Cambria" w:cs="Cambria" w:ascii="Cambria" w:hAnsi="Cambria"/>
        </w:rPr>
        <w:t xml:space="preserve"> </w:t>
      </w:r>
    </w:p>
    <w:p>
      <w:pPr>
        <w:pStyle w:val="Normal"/>
        <w:jc w:val="both"/>
        <w:rPr/>
      </w:pPr>
      <w:r>
        <w:rPr>
          <w:rFonts w:eastAsia="Cambria" w:cs="Cambria" w:ascii="Cambria" w:hAnsi="Cambria"/>
        </w:rPr>
        <w:t>.</w:t>
      </w:r>
      <w:r>
        <w:rPr>
          <w:rFonts w:eastAsia="Cambria" w:cs="Arial"/>
          <w:sz w:val="22"/>
          <w:szCs w:val="22"/>
        </w:rPr>
        <w:t xml:space="preserve">En consonancia con las características del actual contexto socio-cultural y, por consiguiente, con las inquietudes e intereses de los alumnos, es importante integrar las nuevas tecnologías en el aula. </w:t>
      </w:r>
    </w:p>
    <w:p>
      <w:pPr>
        <w:pStyle w:val="Normal"/>
        <w:jc w:val="both"/>
        <w:rPr/>
      </w:pPr>
      <w:r>
        <w:rPr>
          <w:rFonts w:cs="Arial"/>
          <w:sz w:val="22"/>
          <w:szCs w:val="22"/>
        </w:rPr>
        <w:t xml:space="preserve">Los alumnos utilizarán el ordenador para la </w:t>
      </w:r>
      <w:r>
        <w:rPr>
          <w:rFonts w:cs="Arial"/>
          <w:b/>
          <w:sz w:val="22"/>
          <w:szCs w:val="22"/>
        </w:rPr>
        <w:t>búsqueda y selección de informaciones</w:t>
      </w:r>
      <w:r>
        <w:rPr>
          <w:rFonts w:cs="Arial"/>
          <w:sz w:val="22"/>
          <w:szCs w:val="22"/>
        </w:rPr>
        <w:t xml:space="preserve"> necesarias para la elaboración y realización de prácticas de laboratorio así como </w:t>
      </w:r>
      <w:r>
        <w:rPr>
          <w:rFonts w:cs="Arial"/>
          <w:b/>
          <w:sz w:val="22"/>
          <w:szCs w:val="22"/>
        </w:rPr>
        <w:t>medio de consulta</w:t>
      </w:r>
      <w:r>
        <w:rPr>
          <w:rFonts w:cs="Arial"/>
          <w:sz w:val="22"/>
          <w:szCs w:val="22"/>
        </w:rPr>
        <w:t>. Esta labor será realizada frecuentemente fuera del horario lectivo, aunque también se podrá realizar dentro de alguna sesión.</w:t>
      </w:r>
    </w:p>
    <w:p>
      <w:pPr>
        <w:pStyle w:val="Normal"/>
        <w:jc w:val="both"/>
        <w:rPr/>
      </w:pPr>
      <w:r>
        <w:rPr>
          <w:rFonts w:cs="Arial"/>
          <w:sz w:val="22"/>
          <w:szCs w:val="22"/>
        </w:rPr>
        <w:t xml:space="preserve">El profesor utilizará en el aula el ordenador fijo de aula y el proyector para la </w:t>
      </w:r>
      <w:r>
        <w:rPr>
          <w:rFonts w:cs="Arial"/>
          <w:b/>
          <w:sz w:val="22"/>
          <w:szCs w:val="22"/>
        </w:rPr>
        <w:t>ilustración y/ o ampliación de determinados contenidos</w:t>
      </w:r>
      <w:r>
        <w:rPr>
          <w:rFonts w:cs="Arial"/>
          <w:sz w:val="22"/>
          <w:szCs w:val="22"/>
        </w:rPr>
        <w:t xml:space="preserve"> de la programación. Los alumnos podrán utilizarlo si resulta necesario para la </w:t>
      </w:r>
      <w:r>
        <w:rPr>
          <w:rFonts w:cs="Arial"/>
          <w:b/>
          <w:sz w:val="22"/>
          <w:szCs w:val="22"/>
        </w:rPr>
        <w:t>presentación</w:t>
      </w:r>
      <w:r>
        <w:rPr>
          <w:rFonts w:cs="Arial"/>
          <w:sz w:val="22"/>
          <w:szCs w:val="22"/>
        </w:rPr>
        <w:t xml:space="preserve"> de alguno de sus </w:t>
      </w:r>
      <w:r>
        <w:rPr>
          <w:rFonts w:cs="Arial"/>
          <w:b/>
          <w:sz w:val="22"/>
          <w:szCs w:val="22"/>
        </w:rPr>
        <w:t>trabajos</w:t>
      </w:r>
      <w:r>
        <w:rPr>
          <w:rFonts w:cs="Arial"/>
          <w:sz w:val="22"/>
          <w:szCs w:val="22"/>
        </w:rPr>
        <w:t>, si previamente se ha indicado que pueden o deben ser presentados en ese formato.</w:t>
      </w:r>
    </w:p>
    <w:p>
      <w:pPr>
        <w:pStyle w:val="Normal"/>
        <w:jc w:val="both"/>
        <w:rPr/>
      </w:pPr>
      <w:r>
        <w:rPr>
          <w:rFonts w:cs="Arial"/>
          <w:sz w:val="22"/>
          <w:szCs w:val="22"/>
        </w:rPr>
        <w:t xml:space="preserve">Los alumnos tendrán un </w:t>
      </w:r>
      <w:r>
        <w:rPr>
          <w:rFonts w:cs="Arial"/>
          <w:b/>
          <w:sz w:val="22"/>
          <w:szCs w:val="22"/>
        </w:rPr>
        <w:t>grupo de whasapp con la participación del profesor</w:t>
      </w:r>
      <w:r>
        <w:rPr>
          <w:rFonts w:cs="Arial"/>
          <w:sz w:val="22"/>
          <w:szCs w:val="22"/>
        </w:rPr>
        <w:t xml:space="preserve"> para </w:t>
      </w:r>
      <w:r>
        <w:rPr>
          <w:rFonts w:cs="Arial"/>
          <w:b/>
          <w:sz w:val="22"/>
          <w:szCs w:val="22"/>
        </w:rPr>
        <w:t xml:space="preserve">resolver dudas </w:t>
      </w:r>
      <w:r>
        <w:rPr>
          <w:rFonts w:cs="Arial"/>
          <w:sz w:val="22"/>
          <w:szCs w:val="22"/>
        </w:rPr>
        <w:t xml:space="preserve">puntuales, sobre problemas o teoría. Se utilizara como si fuera un </w:t>
      </w:r>
      <w:r>
        <w:rPr>
          <w:rFonts w:cs="Arial"/>
          <w:b/>
          <w:sz w:val="22"/>
          <w:szCs w:val="22"/>
        </w:rPr>
        <w:t>grupo de trabajo</w:t>
      </w:r>
      <w:r>
        <w:rPr>
          <w:rFonts w:cs="Arial"/>
          <w:sz w:val="22"/>
          <w:szCs w:val="22"/>
        </w:rPr>
        <w:t>, donde compartir dudas y resoluciones.</w:t>
      </w:r>
    </w:p>
    <w:p>
      <w:pPr>
        <w:pStyle w:val="Normal"/>
        <w:jc w:val="both"/>
        <w:rPr/>
      </w:pPr>
      <w:r>
        <w:rPr>
          <w:rFonts w:cs="Arial"/>
          <w:sz w:val="22"/>
          <w:szCs w:val="22"/>
        </w:rPr>
        <w:t xml:space="preserve">Se colgarán diversos trabajos y aportaciones de los alumnos en las redes sociales del IES. </w:t>
      </w:r>
    </w:p>
    <w:p>
      <w:pPr>
        <w:pStyle w:val="Normal"/>
        <w:jc w:val="both"/>
        <w:rPr/>
      </w:pPr>
      <w:r>
        <w:rPr>
          <w:rFonts w:eastAsia="Cambria" w:cs="Cambria"/>
          <w:b/>
          <w:sz w:val="22"/>
          <w:szCs w:val="22"/>
          <w:u w:val="single"/>
        </w:rPr>
        <w:t>Se utiliza la plataforma Classroom para colgar apuntes, presentaciones, las colecciones de</w:t>
      </w:r>
      <w:r>
        <w:rPr>
          <w:rFonts w:eastAsia="Cambria" w:cs="Arial"/>
          <w:sz w:val="22"/>
          <w:szCs w:val="22"/>
        </w:rPr>
        <w:t xml:space="preserve"> , problemas y cuestiones resueltos, enlaces a paginas web y cualquier material que se pueda compartir con los alumnos.</w:t>
      </w:r>
    </w:p>
    <w:p>
      <w:pPr>
        <w:pStyle w:val="Normal"/>
        <w:jc w:val="both"/>
        <w:rPr>
          <w:rFonts w:ascii="Calibri" w:hAnsi="Calibri" w:eastAsia="Cambria" w:cs="Arial"/>
          <w:sz w:val="22"/>
          <w:szCs w:val="22"/>
        </w:rPr>
      </w:pPr>
      <w:r>
        <w:rPr>
          <w:rFonts w:eastAsia="Cambria" w:cs="Arial"/>
          <w:sz w:val="22"/>
          <w:szCs w:val="22"/>
        </w:rPr>
      </w:r>
    </w:p>
    <w:p>
      <w:pPr>
        <w:pStyle w:val="Normal"/>
        <w:jc w:val="both"/>
        <w:rPr>
          <w:rFonts w:ascii="Calibri" w:hAnsi="Calibri" w:eastAsia="Cambria" w:cs="Arial"/>
          <w:sz w:val="22"/>
          <w:szCs w:val="22"/>
        </w:rPr>
      </w:pPr>
      <w:r>
        <w:rPr>
          <w:rFonts w:eastAsia="Cambria" w:cs="Arial"/>
          <w:sz w:val="22"/>
          <w:szCs w:val="22"/>
        </w:rPr>
      </w:r>
    </w:p>
    <w:p>
      <w:pPr>
        <w:pStyle w:val="Normal"/>
        <w:jc w:val="both"/>
        <w:rPr>
          <w:rFonts w:ascii="Cambria" w:hAnsi="Cambria" w:eastAsia="Cambria" w:cs="Cambria"/>
          <w:b/>
          <w:b/>
          <w:u w:val="single"/>
        </w:rPr>
      </w:pPr>
      <w:r>
        <w:rPr>
          <w:rFonts w:eastAsia="Cambria" w:cs="Cambria" w:ascii="Cambria" w:hAnsi="Cambria"/>
          <w:b/>
          <w:u w:val="single"/>
        </w:rPr>
        <w:t>12. MECANISMOS DE REVISIÓN, EVALUACIÓN Y MODIFICACIÓN DE LAS PROGRAMACIONES DIDÁCTICAS</w:t>
      </w:r>
    </w:p>
    <w:p>
      <w:pPr>
        <w:pStyle w:val="LOnormal"/>
        <w:jc w:val="both"/>
        <w:rPr/>
      </w:pPr>
      <w:r>
        <w:rPr>
          <w:rFonts w:eastAsia="Cambria" w:cs="Cambria"/>
          <w:color w:val="000000"/>
          <w:sz w:val="22"/>
          <w:szCs w:val="22"/>
        </w:rPr>
        <w:t xml:space="preserve">En primer lugar es necesario revisar la programación al principio del curso para comprobar que cumple con la legislación vigente (ya que puede ser modificada) y que está adaptada al grupo de alumnos del curso que se va a iniciar. En este momento se pueden realizar algunas modificaciones, especialmente en cuanto a las concreciones metodológicas y en relación a las Medidas de Atención a la Diversidad, con el fin de adaptar la Programación a la realidad del grupo antes de que sea incorporada a la Programación General Anual. </w:t>
      </w:r>
    </w:p>
    <w:p>
      <w:pPr>
        <w:pStyle w:val="LOnormal"/>
        <w:jc w:val="both"/>
        <w:rPr/>
      </w:pPr>
      <w:r>
        <w:rPr>
          <w:rFonts w:eastAsia="Cambria" w:cs="Cambria"/>
          <w:color w:val="000000"/>
          <w:sz w:val="22"/>
          <w:szCs w:val="22"/>
        </w:rPr>
        <w:t xml:space="preserve">Durante el desarrollo del curso, el grado de cumplimiento de la programación de cada materia se valora mensualmente en una de las Reuniones de Departamento. De esta forma se pueden detectar desviaciones entre los diferentes grupos de un mismo nivel, por ejemplo. </w:t>
      </w:r>
    </w:p>
    <w:p>
      <w:pPr>
        <w:pStyle w:val="LOnormal"/>
        <w:jc w:val="both"/>
        <w:rPr/>
      </w:pPr>
      <w:r>
        <w:rPr>
          <w:rFonts w:eastAsia="Cambria" w:cs="Cambria"/>
          <w:color w:val="000000"/>
          <w:sz w:val="22"/>
          <w:szCs w:val="22"/>
        </w:rPr>
        <w:t xml:space="preserve">Al menos en una ocasión durante el curso, los alumnos/as de cada grupo podrán contestar voluntariamente a unos cuestionarios online en relación al proceso enseñanza-aprendizaje, al clima de clase y a su propio esfuerzo. Las respuestas de los alumnos/as a estos cuestionarios son un elemento muy valioso como retroalimentación de lo planteado en esta Programación (actividades, metodología, secuenciación, evaluación, etc.) y de la labor docente. El análisis de estas respuestas puede servir para corregir errores sistemáticos, para incorporar mejoras propuestas por los alumnos/as y, en definitiva, para optimizar la Programación Didáctica y el proceso enseñanza-aprendizaje. </w:t>
      </w:r>
    </w:p>
    <w:p>
      <w:pPr>
        <w:pStyle w:val="LOnormal"/>
        <w:jc w:val="both"/>
        <w:rPr/>
      </w:pPr>
      <w:r>
        <w:rPr>
          <w:rFonts w:eastAsia="Cambria" w:cs="Cambria"/>
          <w:color w:val="000000"/>
          <w:sz w:val="22"/>
          <w:szCs w:val="22"/>
        </w:rPr>
        <w:t xml:space="preserve">Por otra parte, se realizará una evaluación de los resultados académicos obtenidos por los diferentes grupos de alumnos/as en la materia en este curso, comparándolos con los obtenidos en años anteriores y con la media de la comunidad autónoma de Aragón para cada nivel. Como consecuencia de dicho análisis se establecerán una serie de medidas destinadas a la mejora de dichos resultados que aparecerán recogidas en la Memoria del Departamento. </w:t>
      </w:r>
    </w:p>
    <w:p>
      <w:pPr>
        <w:pStyle w:val="LOnormal"/>
        <w:jc w:val="both"/>
        <w:rPr/>
      </w:pPr>
      <w:r>
        <w:rPr>
          <w:rFonts w:eastAsia="Cambria" w:cs="Cambria"/>
          <w:color w:val="000000"/>
          <w:sz w:val="22"/>
          <w:szCs w:val="22"/>
        </w:rPr>
        <w:t xml:space="preserve">Finalmente, se procederá a revisar la programación una vez que el curso haya terminado para la elaboración de la Memoria del Departamento. En este punto y a la vista del grado de cumplimiento global de la programación, de los resultados académicos del grupo, de las evaluaciones de los alumnos se puede hacer una valoración más nítida y precisa del proceso enseñanza-aprendizaje. Es en ese momento cuando se pueden proponer modificaciones de la programación como respuesta a desajustes o a propuestas de alumnos/as o de otros docentes del departamento. No obstante, cualquier modificación significativa deberá tener una justificación que la considere necesaria. </w:t>
      </w:r>
    </w:p>
    <w:p>
      <w:pPr>
        <w:pStyle w:val="Normal"/>
        <w:jc w:val="both"/>
        <w:rPr>
          <w:rFonts w:ascii="Cambria" w:hAnsi="Cambria" w:eastAsia="Cambria" w:cs="Cambria"/>
          <w:b/>
          <w:b/>
          <w:u w:val="single"/>
        </w:rPr>
      </w:pPr>
      <w:r>
        <w:rPr>
          <w:rFonts w:eastAsia="Cambria" w:cs="Cambria" w:ascii="Cambria" w:hAnsi="Cambria"/>
          <w:b/>
          <w:u w:val="single"/>
        </w:rPr>
        <w:t>13. ACTIVIDADES COMPLEMENTARIAS Y EXTRAESCOLARES</w:t>
      </w:r>
    </w:p>
    <w:p>
      <w:pPr>
        <w:pStyle w:val="Normal"/>
        <w:jc w:val="both"/>
        <w:rPr>
          <w:rFonts w:ascii="Cambria" w:hAnsi="Cambria" w:eastAsia="Cambria" w:cs="Cambria"/>
        </w:rPr>
      </w:pPr>
      <w:r>
        <w:rPr>
          <w:rFonts w:eastAsia="Cambria" w:cs="Cambria" w:ascii="Cambria" w:hAnsi="Cambria"/>
        </w:rPr>
        <w:t>Se realizara una visita al CSIC</w:t>
      </w:r>
    </w:p>
    <w:p>
      <w:pPr>
        <w:pStyle w:val="Normal"/>
        <w:jc w:val="both"/>
        <w:rPr/>
      </w:pPr>
      <w:r>
        <w:rPr>
          <w:rFonts w:eastAsia="Cambria" w:cs="Cambria" w:ascii="Cambria" w:hAnsi="Cambria"/>
        </w:rPr>
        <w:t xml:space="preserve">Si no fiera posible por no tener plazas se realizara una visita a uno de los institutos de investigación de Aragon. O una visita de algún investigador al centro </w:t>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rPr>
      </w:pPr>
      <w:r>
        <w:rPr>
          <w:rFonts w:eastAsia="Cambria" w:cs="Cambria" w:ascii="Cambria" w:hAnsi="Cambria"/>
        </w:rPr>
      </w:r>
    </w:p>
    <w:p>
      <w:pPr>
        <w:pStyle w:val="Normal"/>
        <w:jc w:val="both"/>
        <w:rPr>
          <w:rFonts w:ascii="Cambria" w:hAnsi="Cambria" w:eastAsia="Cambria" w:cs="Cambria"/>
          <w:b/>
          <w:b/>
          <w:smallCaps/>
          <w:u w:val="single"/>
        </w:rPr>
      </w:pPr>
      <w:r>
        <w:rPr>
          <w:rFonts w:eastAsia="Cambria" w:cs="Cambria" w:ascii="Cambria" w:hAnsi="Cambria"/>
          <w:b/>
          <w:smallCaps/>
          <w:u w:val="single"/>
        </w:rPr>
        <w:t>14. FORMA EN LA QUE SE DAN A CONOCER LOS ASPECTOS RELEVANTES DE ESTA PROGRAMACIÓN AL ALUMNADO Y LAS FAMILIAS</w:t>
      </w:r>
    </w:p>
    <w:p>
      <w:pPr>
        <w:pStyle w:val="Normal"/>
        <w:jc w:val="both"/>
        <w:rPr/>
      </w:pPr>
      <w:r>
        <w:rPr>
          <w:rFonts w:eastAsia="Cambria" w:cs="Cambria"/>
          <w:sz w:val="22"/>
          <w:szCs w:val="22"/>
        </w:rPr>
        <w:t xml:space="preserve">Los criterios de Calificación, instrumentos de evaluación se dan a conocer el primer  día del curso a los alumnos. </w:t>
      </w:r>
    </w:p>
    <w:p>
      <w:pPr>
        <w:pStyle w:val="Normal"/>
        <w:jc w:val="both"/>
        <w:rPr/>
      </w:pPr>
      <w:r>
        <w:rPr>
          <w:rFonts w:eastAsia="Cambria" w:cs="Cambria"/>
          <w:sz w:val="22"/>
          <w:szCs w:val="22"/>
        </w:rPr>
        <w:t xml:space="preserve">Ademas se informa de que están colgados de la pagina web del instituto  </w:t>
      </w:r>
    </w:p>
    <w:p>
      <w:pPr>
        <w:pStyle w:val="Normal"/>
        <w:spacing w:before="0" w:after="200"/>
        <w:jc w:val="both"/>
        <w:rPr/>
      </w:pPr>
      <w:r>
        <w:rPr/>
      </w:r>
    </w:p>
    <w:sectPr>
      <w:headerReference w:type="default" r:id="rId2"/>
      <w:footerReference w:type="default" r:id="rId3"/>
      <w:footnotePr>
        <w:numFmt w:val="decimal"/>
      </w:footnotePr>
      <w:type w:val="nextPage"/>
      <w:pgSz w:w="11906" w:h="16838"/>
      <w:pgMar w:left="1701" w:right="1701" w:header="708" w:top="1417" w:footer="708" w:bottom="1417" w:gutter="0"/>
      <w:pgNumType w:start="1" w:fmt="decimal"/>
      <w:formProt w:val="false"/>
      <w:titlePg/>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Cambria">
    <w:charset w:val="00"/>
    <w:family w:val="roman"/>
    <w:pitch w:val="variable"/>
  </w:font>
  <w:font w:name="Georgia">
    <w:charset w:val="00"/>
    <w:family w:val="roman"/>
    <w:pitch w:val="variable"/>
  </w:font>
  <w:font w:name="Verdana">
    <w:charset w:val="00"/>
    <w:family w:val="roman"/>
    <w:pitch w:val="variable"/>
  </w:font>
  <w:font w:name="Arial">
    <w:charset w:val="00"/>
    <w:family w:val="roman"/>
    <w:pitch w:val="variable"/>
  </w:font>
  <w:font w:name="Calibri">
    <w:altName w:val="sans-serif"/>
    <w:charset w:val="00"/>
    <w:family w:val="roman"/>
    <w:pitch w:val="variable"/>
  </w:font>
  <w:font w:name="Arial Narrow">
    <w:charset w:val="00"/>
    <w:family w:val="roman"/>
    <w:pitch w:val="variable"/>
  </w:font>
  <w:font w:name="Noto Sans Symbols">
    <w:charset w:val="01"/>
    <w:family w:val="auto"/>
    <w:pitch w:val="default"/>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spacing w:lineRule="auto" w:line="240" w:before="120" w:after="0"/>
      <w:ind w:left="142" w:hanging="0"/>
      <w:jc w:val="center"/>
      <w:rPr>
        <w:rFonts w:ascii="Arial Narrow" w:hAnsi="Arial Narrow" w:eastAsia="Arial Narrow" w:cs="Arial Narrow"/>
        <w:b/>
        <w:b/>
        <w:smallCaps/>
        <w:color w:val="366091"/>
        <w:sz w:val="18"/>
        <w:szCs w:val="18"/>
      </w:rPr>
    </w:pPr>
    <w:r>
      <w:rPr>
        <w:rFonts w:eastAsia="Arial Narrow" w:cs="Arial Narrow" w:ascii="Arial Narrow" w:hAnsi="Arial Narrow"/>
        <w:b/>
        <w:smallCaps/>
        <w:color w:val="366091"/>
        <w:sz w:val="18"/>
        <w:szCs w:val="18"/>
      </w:rPr>
      <w:t xml:space="preserve">IES LA PUEBLA DE </w:t>
    </w:r>
    <w:r>
      <w:rPr>
        <w:rFonts w:eastAsia="Arial Narrow" w:cs="Arial Narrow" w:ascii="Arial Narrow" w:hAnsi="Arial Narrow"/>
        <w:b/>
        <w:smallCaps/>
        <w:color w:val="365F91"/>
        <w:sz w:val="18"/>
        <w:szCs w:val="18"/>
      </w:rPr>
      <w:t>ALFINDÉN</w:t>
    </w:r>
  </w:p>
  <w:p>
    <w:pPr>
      <w:pStyle w:val="Normal"/>
      <w:tabs>
        <w:tab w:val="clear" w:pos="720"/>
        <w:tab w:val="center" w:pos="4252" w:leader="none"/>
        <w:tab w:val="right" w:pos="8504" w:leader="none"/>
      </w:tabs>
      <w:spacing w:lineRule="auto" w:line="240" w:before="0" w:after="0"/>
      <w:ind w:left="142" w:hanging="0"/>
      <w:jc w:val="center"/>
      <w:rPr>
        <w:sz w:val="18"/>
        <w:szCs w:val="18"/>
      </w:rPr>
    </w:pPr>
    <w:r>
      <w:rPr>
        <w:sz w:val="18"/>
        <w:szCs w:val="18"/>
      </w:rPr>
      <w:t>Av. de Pastriz, nº 2 – 50171 – La Puebla de Alfindén, Zaragoza | 976 107 602</w:t>
    </w:r>
  </w:p>
  <w:p>
    <w:pPr>
      <w:pStyle w:val="Normal"/>
      <w:tabs>
        <w:tab w:val="clear" w:pos="720"/>
        <w:tab w:val="center" w:pos="4252" w:leader="none"/>
        <w:tab w:val="right" w:pos="8504" w:leader="none"/>
      </w:tabs>
      <w:spacing w:lineRule="auto" w:line="240" w:before="0" w:after="0"/>
      <w:jc w:val="center"/>
      <w:rPr/>
    </w:pPr>
    <w:r>
      <w:drawing>
        <wp:anchor behindDoc="1" distT="0" distB="0" distL="0" distR="0" simplePos="0" locked="0" layoutInCell="1" allowOverlap="1" relativeHeight="77">
          <wp:simplePos x="0" y="0"/>
          <wp:positionH relativeFrom="column">
            <wp:posOffset>8734425</wp:posOffset>
          </wp:positionH>
          <wp:positionV relativeFrom="paragraph">
            <wp:posOffset>-5779135</wp:posOffset>
          </wp:positionV>
          <wp:extent cx="810895" cy="400685"/>
          <wp:effectExtent l="0" t="0" r="0" b="0"/>
          <wp:wrapNone/>
          <wp:docPr id="2" name="image1.jpg" descr="cropped-20160923_113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cropped-20160923_113224"/>
                  <pic:cNvPicPr>
                    <a:picLocks noChangeAspect="1" noChangeArrowheads="1"/>
                  </pic:cNvPicPr>
                </pic:nvPicPr>
                <pic:blipFill>
                  <a:blip r:embed="rId1"/>
                  <a:stretch>
                    <a:fillRect/>
                  </a:stretch>
                </pic:blipFill>
                <pic:spPr bwMode="auto">
                  <a:xfrm>
                    <a:off x="0" y="0"/>
                    <a:ext cx="810895" cy="400685"/>
                  </a:xfrm>
                  <a:prstGeom prst="rect">
                    <a:avLst/>
                  </a:prstGeom>
                </pic:spPr>
              </pic:pic>
            </a:graphicData>
          </a:graphic>
        </wp:anchor>
      </w:drawing>
    </w:r>
    <w:r>
      <w:rPr>
        <w:sz w:val="18"/>
        <w:szCs w:val="18"/>
      </w:rPr>
      <w:t>i</w:t>
    </w:r>
    <w:r>
      <w:rPr>
        <w:sz w:val="18"/>
        <w:szCs w:val="18"/>
      </w:rPr>
      <w:t>eslapuebla@educa.aragon.es | ieslapuebladealfinden.com</w:t>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Notaalpie"/>
        <w:spacing w:before="0" w:after="200"/>
        <w:rPr/>
      </w:pPr>
      <w:r>
        <w:rPr>
          <w:rStyle w:val="Caracteresdenotaalpie"/>
        </w:rPr>
        <w:footnoteRef/>
      </w:r>
      <w:r>
        <w:rPr/>
        <w:tab/>
        <w:t xml:space="preserve"> </w:t>
      </w:r>
      <w:r>
        <w:rPr/>
        <w:t>Desde el departamento de Orientación se realiza la formación necesaria para ser voluntario en los grupos interactivos. Ademas de padres también pueden ser voluntarios otros profesores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tabs>
        <w:tab w:val="clear" w:pos="720"/>
        <w:tab w:val="center" w:pos="4252" w:leader="none"/>
        <w:tab w:val="right" w:pos="8504" w:leader="none"/>
      </w:tabs>
      <w:spacing w:lineRule="auto" w:line="240" w:before="0" w:after="0"/>
      <w:rPr/>
    </w:pPr>
    <w:r>
      <w:rPr/>
      <w:drawing>
        <wp:anchor behindDoc="1" distT="0" distB="0" distL="0" distR="0" simplePos="0" locked="0" layoutInCell="1" allowOverlap="1" relativeHeight="39">
          <wp:simplePos x="0" y="0"/>
          <wp:positionH relativeFrom="column">
            <wp:posOffset>4195445</wp:posOffset>
          </wp:positionH>
          <wp:positionV relativeFrom="paragraph">
            <wp:posOffset>-279400</wp:posOffset>
          </wp:positionV>
          <wp:extent cx="1617980" cy="721995"/>
          <wp:effectExtent l="0" t="0" r="0" b="0"/>
          <wp:wrapTopAndBottom/>
          <wp:docPr id="1" name="image2.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descr=""/>
                  <pic:cNvPicPr>
                    <a:picLocks noChangeAspect="1" noChangeArrowheads="1"/>
                  </pic:cNvPicPr>
                </pic:nvPicPr>
                <pic:blipFill>
                  <a:blip r:embed="rId1"/>
                  <a:srcRect l="-10" t="-23" r="-10" b="-23"/>
                  <a:stretch>
                    <a:fillRect/>
                  </a:stretch>
                </pic:blipFill>
                <pic:spPr bwMode="auto">
                  <a:xfrm>
                    <a:off x="0" y="0"/>
                    <a:ext cx="1617980" cy="72199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Noto Sans Symbols" w:hAnsi="Noto Sans Symbols" w:cs="Noto Sans Symbols" w:hint="default"/>
        <w:sz w:val="22"/>
        <w:b/>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2">
    <w:lvl w:ilvl="0">
      <w:start w:val="1"/>
      <w:numFmt w:val="bullet"/>
      <w:lvlText w:val=""/>
      <w:lvlJc w:val="left"/>
      <w:pPr>
        <w:ind w:left="720" w:hanging="360"/>
      </w:pPr>
      <w:rPr>
        <w:rFonts w:ascii="Symbol" w:hAnsi="Symbol" w:cs="Symbol" w:hint="default"/>
        <w:sz w:val="22"/>
        <w:b w:val="false"/>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4">
    <w:lvl w:ilvl="0">
      <w:start w:val="1"/>
      <w:numFmt w:val="bullet"/>
      <w:lvlText w:val="●"/>
      <w:lvlJc w:val="left"/>
      <w:pPr>
        <w:ind w:left="1004" w:hanging="360"/>
      </w:pPr>
      <w:rPr>
        <w:rFonts w:ascii="Noto Sans Symbols" w:hAnsi="Noto Sans Symbols" w:cs="Noto Sans Symbols" w:hint="default"/>
        <w:sz w:val="22"/>
        <w:rFonts w:cs="Noto Sans Symbols"/>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5">
    <w:lvl w:ilvl="0">
      <w:start w:val="1"/>
      <w:numFmt w:val="bullet"/>
      <w:lvlText w:val=""/>
      <w:lvlJc w:val="left"/>
      <w:pPr>
        <w:ind w:left="-180" w:hanging="360"/>
      </w:pPr>
      <w:rPr>
        <w:rFonts w:ascii="Symbol" w:hAnsi="Symbol" w:cs="Symbol" w:hint="default"/>
        <w:vertAlign w:val="baseline"/>
        <w:position w:val="0"/>
        <w:sz w:val="22"/>
        <w:sz w:val="22"/>
        <w:rFonts w:cs="Symbol"/>
      </w:rPr>
    </w:lvl>
    <w:lvl w:ilvl="1">
      <w:start w:val="1"/>
      <w:numFmt w:val="bullet"/>
      <w:lvlText w:val="o"/>
      <w:lvlJc w:val="left"/>
      <w:pPr>
        <w:ind w:left="540" w:hanging="360"/>
      </w:pPr>
      <w:rPr>
        <w:rFonts w:ascii="Courier New" w:hAnsi="Courier New" w:cs="Courier New" w:hint="default"/>
        <w:vertAlign w:val="baseline"/>
        <w:position w:val="0"/>
        <w:sz w:val="22"/>
        <w:sz w:val="22"/>
        <w:rFonts w:cs="Courier New"/>
      </w:rPr>
    </w:lvl>
    <w:lvl w:ilvl="2">
      <w:start w:val="1"/>
      <w:numFmt w:val="bullet"/>
      <w:lvlText w:val=""/>
      <w:lvlJc w:val="left"/>
      <w:pPr>
        <w:ind w:left="1260" w:hanging="360"/>
      </w:pPr>
      <w:rPr>
        <w:rFonts w:ascii="Wingdings" w:hAnsi="Wingdings" w:cs="Wingdings" w:hint="default"/>
        <w:vertAlign w:val="baseline"/>
        <w:position w:val="0"/>
        <w:sz w:val="22"/>
        <w:sz w:val="22"/>
        <w:rFonts w:cs="Wingdings"/>
      </w:rPr>
    </w:lvl>
    <w:lvl w:ilvl="3">
      <w:start w:val="1"/>
      <w:numFmt w:val="bullet"/>
      <w:lvlText w:val=""/>
      <w:lvlJc w:val="left"/>
      <w:pPr>
        <w:ind w:left="1980" w:hanging="360"/>
      </w:pPr>
      <w:rPr>
        <w:rFonts w:ascii="Symbol" w:hAnsi="Symbol" w:cs="Symbol" w:hint="default"/>
        <w:vertAlign w:val="baseline"/>
        <w:position w:val="0"/>
        <w:sz w:val="22"/>
        <w:sz w:val="22"/>
        <w:rFonts w:cs="Symbol"/>
      </w:rPr>
    </w:lvl>
    <w:lvl w:ilvl="4">
      <w:start w:val="1"/>
      <w:numFmt w:val="bullet"/>
      <w:lvlText w:val="o"/>
      <w:lvlJc w:val="left"/>
      <w:pPr>
        <w:ind w:left="2700" w:hanging="360"/>
      </w:pPr>
      <w:rPr>
        <w:rFonts w:ascii="Courier New" w:hAnsi="Courier New" w:cs="Courier New" w:hint="default"/>
        <w:vertAlign w:val="baseline"/>
        <w:position w:val="0"/>
        <w:sz w:val="22"/>
        <w:sz w:val="22"/>
        <w:rFonts w:cs="Courier New"/>
      </w:rPr>
    </w:lvl>
    <w:lvl w:ilvl="5">
      <w:start w:val="1"/>
      <w:numFmt w:val="bullet"/>
      <w:lvlText w:val=""/>
      <w:lvlJc w:val="left"/>
      <w:pPr>
        <w:ind w:left="3420" w:hanging="360"/>
      </w:pPr>
      <w:rPr>
        <w:rFonts w:ascii="Wingdings" w:hAnsi="Wingdings" w:cs="Wingdings" w:hint="default"/>
        <w:vertAlign w:val="baseline"/>
        <w:position w:val="0"/>
        <w:sz w:val="22"/>
        <w:sz w:val="22"/>
        <w:rFonts w:cs="Wingdings"/>
      </w:rPr>
    </w:lvl>
    <w:lvl w:ilvl="6">
      <w:start w:val="1"/>
      <w:numFmt w:val="bullet"/>
      <w:lvlText w:val=""/>
      <w:lvlJc w:val="left"/>
      <w:pPr>
        <w:ind w:left="4140" w:hanging="360"/>
      </w:pPr>
      <w:rPr>
        <w:rFonts w:ascii="Symbol" w:hAnsi="Symbol" w:cs="Symbol" w:hint="default"/>
        <w:vertAlign w:val="baseline"/>
        <w:position w:val="0"/>
        <w:sz w:val="22"/>
        <w:sz w:val="22"/>
        <w:rFonts w:cs="Symbol"/>
      </w:rPr>
    </w:lvl>
    <w:lvl w:ilvl="7">
      <w:start w:val="1"/>
      <w:numFmt w:val="bullet"/>
      <w:lvlText w:val="o"/>
      <w:lvlJc w:val="left"/>
      <w:pPr>
        <w:ind w:left="4860" w:hanging="360"/>
      </w:pPr>
      <w:rPr>
        <w:rFonts w:ascii="Courier New" w:hAnsi="Courier New" w:cs="Courier New" w:hint="default"/>
        <w:vertAlign w:val="baseline"/>
        <w:position w:val="0"/>
        <w:sz w:val="22"/>
        <w:sz w:val="22"/>
        <w:rFonts w:cs="Courier New"/>
      </w:rPr>
    </w:lvl>
    <w:lvl w:ilvl="8">
      <w:start w:val="1"/>
      <w:numFmt w:val="bullet"/>
      <w:lvlText w:val=""/>
      <w:lvlJc w:val="left"/>
      <w:pPr>
        <w:ind w:left="5580" w:hanging="360"/>
      </w:pPr>
      <w:rPr>
        <w:rFonts w:ascii="Wingdings" w:hAnsi="Wingdings" w:cs="Wingdings" w:hint="default"/>
        <w:vertAlign w:val="baseline"/>
        <w:position w:val="0"/>
        <w:sz w:val="22"/>
        <w:sz w:val="22"/>
        <w:rFonts w:cs="Wingdings"/>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efaultTabStop w:val="720"/>
  <w:footnotePr>
    <w:numFmt w:val="decimal"/>
    <w:footnote w:id="0"/>
    <w:footnote w:id="1"/>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color w:val="00000A"/>
        <w:szCs w:val="22"/>
        <w:lang w:val="es-ES" w:eastAsia="es-E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86824"/>
    <w:pPr>
      <w:widowControl/>
      <w:bidi w:val="0"/>
      <w:spacing w:lineRule="auto" w:line="276" w:before="0" w:after="200"/>
      <w:jc w:val="left"/>
    </w:pPr>
    <w:rPr>
      <w:rFonts w:ascii="Calibri" w:hAnsi="Calibri" w:eastAsia="Calibri" w:cs="Calibri"/>
      <w:color w:val="00000A"/>
      <w:kern w:val="0"/>
      <w:sz w:val="22"/>
      <w:szCs w:val="22"/>
      <w:lang w:val="es-ES" w:eastAsia="es-ES" w:bidi="ar-SA"/>
    </w:rPr>
  </w:style>
  <w:style w:type="paragraph" w:styleId="Ttulo1">
    <w:name w:val="Heading 1"/>
    <w:basedOn w:val="Normal"/>
    <w:next w:val="Normal"/>
    <w:qFormat/>
    <w:pPr>
      <w:keepNext w:val="true"/>
      <w:keepLines/>
      <w:spacing w:before="480" w:after="120"/>
      <w:outlineLvl w:val="0"/>
    </w:pPr>
    <w:rPr>
      <w:b/>
      <w:sz w:val="48"/>
      <w:szCs w:val="48"/>
    </w:rPr>
  </w:style>
  <w:style w:type="paragraph" w:styleId="Ttulo2">
    <w:name w:val="Heading 2"/>
    <w:basedOn w:val="Normal"/>
    <w:next w:val="Normal"/>
    <w:qFormat/>
    <w:pPr>
      <w:keepNext w:val="true"/>
      <w:keepLines/>
      <w:spacing w:before="360" w:after="80"/>
      <w:outlineLvl w:val="1"/>
    </w:pPr>
    <w:rPr>
      <w:b/>
      <w:sz w:val="36"/>
      <w:szCs w:val="36"/>
    </w:rPr>
  </w:style>
  <w:style w:type="paragraph" w:styleId="Ttulo3">
    <w:name w:val="Heading 3"/>
    <w:basedOn w:val="Normal"/>
    <w:next w:val="Normal"/>
    <w:qFormat/>
    <w:pPr>
      <w:keepNext w:val="true"/>
      <w:keepLines/>
      <w:spacing w:before="280" w:after="80"/>
      <w:outlineLvl w:val="2"/>
    </w:pPr>
    <w:rPr>
      <w:b/>
      <w:sz w:val="28"/>
      <w:szCs w:val="28"/>
    </w:rPr>
  </w:style>
  <w:style w:type="paragraph" w:styleId="Ttulo4">
    <w:name w:val="Heading 4"/>
    <w:basedOn w:val="Normal"/>
    <w:next w:val="Normal"/>
    <w:qFormat/>
    <w:pPr>
      <w:keepNext w:val="true"/>
      <w:keepLines/>
      <w:spacing w:before="240" w:after="40"/>
      <w:outlineLvl w:val="3"/>
    </w:pPr>
    <w:rPr>
      <w:b/>
      <w:sz w:val="24"/>
      <w:szCs w:val="24"/>
    </w:rPr>
  </w:style>
  <w:style w:type="paragraph" w:styleId="Ttulo5">
    <w:name w:val="Heading 5"/>
    <w:basedOn w:val="Normal"/>
    <w:next w:val="Normal"/>
    <w:qFormat/>
    <w:pPr>
      <w:keepNext w:val="true"/>
      <w:keepLines/>
      <w:spacing w:before="220" w:after="40"/>
      <w:outlineLvl w:val="4"/>
    </w:pPr>
    <w:rPr>
      <w:b/>
    </w:rPr>
  </w:style>
  <w:style w:type="paragraph" w:styleId="Ttulo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87523a"/>
    <w:rPr/>
  </w:style>
  <w:style w:type="character" w:styleId="PiedepginaCar" w:customStyle="1">
    <w:name w:val="Pie de página Car"/>
    <w:basedOn w:val="DefaultParagraphFont"/>
    <w:link w:val="Piedepgina"/>
    <w:uiPriority w:val="99"/>
    <w:qFormat/>
    <w:rsid w:val="0087523a"/>
    <w:rPr/>
  </w:style>
  <w:style w:type="character" w:styleId="Pagenumber">
    <w:name w:val="page number"/>
    <w:basedOn w:val="DefaultParagraphFont"/>
    <w:uiPriority w:val="99"/>
    <w:qFormat/>
    <w:rsid w:val="009c33ec"/>
    <w:rPr/>
  </w:style>
  <w:style w:type="character" w:styleId="Caracteresdenotaalpie">
    <w:name w:val="Caracteres de nota al pie"/>
    <w:qFormat/>
    <w:rPr/>
  </w:style>
  <w:style w:type="character" w:styleId="Ancladenotaalpie">
    <w:name w:val="Ancla de nota al pie"/>
    <w:rPr>
      <w:vertAlign w:val="superscript"/>
    </w:rPr>
  </w:style>
  <w:style w:type="character" w:styleId="Ancladenotafinal">
    <w:name w:val="Ancla de nota final"/>
    <w:rPr>
      <w:vertAlign w:val="superscript"/>
    </w:rPr>
  </w:style>
  <w:style w:type="character" w:styleId="Caracteresdenotafinal">
    <w:name w:val="Caracteres de nota final"/>
    <w:qFormat/>
    <w:rPr/>
  </w:style>
  <w:style w:type="paragraph" w:styleId="Ttulo">
    <w:name w:val="Título"/>
    <w:basedOn w:val="Normal"/>
    <w:next w:val="Cuerpodetexto"/>
    <w:qFormat/>
    <w:pPr>
      <w:keepNext w:val="true"/>
      <w:spacing w:before="240" w:after="120"/>
    </w:pPr>
    <w:rPr>
      <w:rFonts w:ascii="Liberation Sans" w:hAnsi="Liberation Sans" w:eastAsia="Microsoft YaHei" w:cs="Lucida Sans"/>
      <w:sz w:val="28"/>
      <w:szCs w:val="28"/>
    </w:rPr>
  </w:style>
  <w:style w:type="paragraph" w:styleId="Cuerpodetexto">
    <w:name w:val="Body Text"/>
    <w:basedOn w:val="Normal"/>
    <w:pPr>
      <w:spacing w:before="0" w:after="140"/>
    </w:pPr>
    <w:rPr/>
  </w:style>
  <w:style w:type="paragraph" w:styleId="Lista">
    <w:name w:val="List"/>
    <w:basedOn w:val="Cuerpodetexto"/>
    <w:pPr/>
    <w:rPr>
      <w:rFonts w:cs="Lucida Sans"/>
    </w:rPr>
  </w:style>
  <w:style w:type="paragraph" w:styleId="Ley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Lucida Sans"/>
    </w:rPr>
  </w:style>
  <w:style w:type="paragraph" w:styleId="Titular">
    <w:name w:val="Title"/>
    <w:basedOn w:val="Normal"/>
    <w:next w:val="Cuerpodetexto"/>
    <w:qFormat/>
    <w:pPr>
      <w:keepNext w:val="true"/>
      <w:spacing w:before="240" w:after="120"/>
    </w:pPr>
    <w:rPr>
      <w:rFonts w:ascii="Liberation Sans" w:hAnsi="Liberation Sans" w:eastAsia="Microsoft YaHei" w:cs="Lucida Sans"/>
      <w:sz w:val="28"/>
      <w:szCs w:val="28"/>
    </w:rPr>
  </w:style>
  <w:style w:type="paragraph" w:styleId="Caption">
    <w:name w:val="caption"/>
    <w:basedOn w:val="Normal"/>
    <w:qFormat/>
    <w:pPr>
      <w:suppressLineNumbers/>
      <w:spacing w:before="120" w:after="120"/>
    </w:pPr>
    <w:rPr>
      <w:rFonts w:cs="Lucida Sans"/>
      <w:i/>
      <w:iCs/>
      <w:sz w:val="24"/>
      <w:szCs w:val="24"/>
    </w:rPr>
  </w:style>
  <w:style w:type="paragraph" w:styleId="Cabeceraypie">
    <w:name w:val="Cabecera y pie"/>
    <w:basedOn w:val="Normal"/>
    <w:qFormat/>
    <w:pPr/>
    <w:rPr/>
  </w:style>
  <w:style w:type="paragraph" w:styleId="Cabecera">
    <w:name w:val="Header"/>
    <w:basedOn w:val="Normal"/>
    <w:link w:val="EncabezadoCar"/>
    <w:uiPriority w:val="99"/>
    <w:unhideWhenUsed/>
    <w:rsid w:val="0087523a"/>
    <w:pPr>
      <w:tabs>
        <w:tab w:val="clear" w:pos="720"/>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87523a"/>
    <w:pPr>
      <w:tabs>
        <w:tab w:val="clear" w:pos="720"/>
        <w:tab w:val="center" w:pos="4252" w:leader="none"/>
        <w:tab w:val="right" w:pos="8504" w:leader="none"/>
      </w:tabs>
      <w:spacing w:lineRule="auto" w:line="240" w:before="0" w:after="0"/>
    </w:pPr>
    <w:rPr/>
  </w:style>
  <w:style w:type="paragraph" w:styleId="Organization" w:customStyle="1">
    <w:name w:val="Organization"/>
    <w:basedOn w:val="Normal"/>
    <w:uiPriority w:val="5"/>
    <w:qFormat/>
    <w:rsid w:val="009c33ec"/>
    <w:pPr>
      <w:spacing w:lineRule="auto" w:line="240" w:before="20" w:after="40"/>
    </w:pPr>
    <w:rPr>
      <w:rFonts w:ascii="Cambria" w:hAnsi="Cambria" w:eastAsia="" w:cs="" w:asciiTheme="majorHAnsi" w:cstheme="majorBidi" w:eastAsiaTheme="majorEastAsia" w:hAnsiTheme="majorHAnsi"/>
      <w:b/>
      <w:bCs/>
      <w:caps/>
      <w:color w:val="365F91" w:themeColor="accent1" w:themeShade="bf"/>
      <w:lang w:val="en-US" w:eastAsia="ja-JP"/>
    </w:rPr>
  </w:style>
  <w:style w:type="paragraph" w:styleId="Subttulo">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Estiloparrafos">
    <w:name w:val="Estilo_parrafos"/>
    <w:basedOn w:val="Normal"/>
    <w:qFormat/>
    <w:pPr>
      <w:bidi w:val="0"/>
      <w:jc w:val="both"/>
    </w:pPr>
    <w:rPr>
      <w:rFonts w:ascii="Verdana" w:hAnsi="Verdana"/>
      <w:sz w:val="20"/>
      <w:szCs w:val="20"/>
    </w:rPr>
  </w:style>
  <w:style w:type="paragraph" w:styleId="DC1">
    <w:name w:val="DC1"/>
    <w:basedOn w:val="Lista"/>
    <w:qFormat/>
    <w:pPr>
      <w:tabs>
        <w:tab w:val="clear" w:pos="720"/>
        <w:tab w:val="left" w:pos="227" w:leader="none"/>
      </w:tabs>
      <w:spacing w:lineRule="auto" w:line="240" w:before="0" w:after="0"/>
      <w:ind w:left="0" w:right="0" w:hanging="0"/>
      <w:jc w:val="left"/>
    </w:pPr>
    <w:rPr>
      <w:sz w:val="18"/>
      <w:szCs w:val="18"/>
    </w:rPr>
  </w:style>
  <w:style w:type="paragraph" w:styleId="Contenidodelatabla">
    <w:name w:val="Contenido de la tabla"/>
    <w:basedOn w:val="Normal"/>
    <w:qFormat/>
    <w:pPr>
      <w:suppressLineNumbers/>
    </w:pPr>
    <w:rPr/>
  </w:style>
  <w:style w:type="paragraph" w:styleId="Notaalpie">
    <w:name w:val="Footnote Text"/>
    <w:basedOn w:val="Normal"/>
    <w:pPr>
      <w:suppressLineNumbers/>
      <w:ind w:left="339" w:hanging="339"/>
    </w:pPr>
    <w:rPr>
      <w:sz w:val="20"/>
      <w:szCs w:val="20"/>
    </w:rPr>
  </w:style>
  <w:style w:type="paragraph" w:styleId="ListParagraph">
    <w:name w:val="List Paragraph"/>
    <w:basedOn w:val="Normal"/>
    <w:qFormat/>
    <w:pPr>
      <w:spacing w:lineRule="auto" w:line="360" w:before="0" w:after="0"/>
      <w:ind w:left="720" w:hanging="0"/>
      <w:contextualSpacing/>
    </w:pPr>
    <w:rPr>
      <w:rFonts w:ascii="Arial" w:hAnsi="Arial" w:cs="Times New Roman"/>
      <w:color w:val="auto"/>
      <w:sz w:val="20"/>
      <w:lang w:eastAsia="en-US"/>
    </w:rPr>
  </w:style>
  <w:style w:type="paragraph" w:styleId="LOnormal">
    <w:name w:val="LO-normal"/>
    <w:qFormat/>
    <w:pPr>
      <w:widowControl/>
      <w:suppressAutoHyphens w:val="true"/>
      <w:bidi w:val="0"/>
      <w:spacing w:lineRule="auto" w:line="276" w:before="0" w:after="200"/>
      <w:jc w:val="left"/>
    </w:pPr>
    <w:rPr>
      <w:rFonts w:ascii="Calibri" w:hAnsi="Calibri" w:eastAsia="Calibri" w:cs="Calibri"/>
      <w:color w:val="00000A"/>
      <w:kern w:val="0"/>
      <w:sz w:val="20"/>
      <w:szCs w:val="22"/>
      <w:lang w:val="es-ES" w:eastAsia="es-ES" w:bidi="ar-SA"/>
    </w:rPr>
  </w:style>
  <w:style w:type="paragraph" w:styleId="Ttulodelatabla">
    <w:name w:val="Título de la tabla"/>
    <w:basedOn w:val="Contenidodelatabla"/>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 w:type="table" w:customStyle="1" w:styleId="TableNormal0">
    <w:name w:val="Table Normal"/>
    <w:tblPr>
      <w:tblCellMar>
        <w:top w:w="0" w:type="dxa"/>
        <w:left w:w="0" w:type="dxa"/>
        <w:bottom w:w="0" w:type="dxa"/>
        <w:right w:w="0" w:type="dxa"/>
      </w:tblCellMar>
    </w:tblPr>
  </w:style>
  <w:style w:type="table" w:customStyle="1" w:styleId="Sombreadoclaro-nfasis11">
    <w:name w:val="Sombreado claro - Énfasis 11"/>
    <w:basedOn w:val="Tablanormal"/>
    <w:uiPriority w:val="60"/>
    <w:rsid w:val="0087523a"/>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Pr/>
    </w:tblStylePr>
    <w:tblStylePr w:type="lastCol">
      <w:rPr>
        <w:b/>
        <w:bCs/>
      </w:rPr>
      <w:tbl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2.jpeg"/>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dunBv+UX1bSl89IguxlzzYdQZFw==">AMUW2mXGzZswtaDb9sc+a3DebReAHWjTbV/KjMKyr3brKaaLZPXpe1xwcWayWuKftl+jgdDauUv9mqSNuE3aiTwfIeY+X+lLRQz2LBkHv7EgMJJ+839BR0YWhhFJobnF3cJMGuACqpIG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Application>LibreOffice/6.3.3.2$Windows_X86_64 LibreOffice_project/a64200df03143b798afd1ec74a12ab50359878ed</Application>
  <Pages>39</Pages>
  <Words>10323</Words>
  <Characters>60929</Characters>
  <CharactersWithSpaces>70505</CharactersWithSpaces>
  <Paragraphs>854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2021-09-07T11:35:00Z</dcterms:created>
  <dc:creator>Esther</dc:creator>
  <dc:description/>
  <dc:language>es-ES</dc:language>
  <cp:lastModifiedBy/>
  <dcterms:modified xsi:type="dcterms:W3CDTF">2025-10-15T13:05:18Z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