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media/image2.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word/_rels/header1.xml.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1.xml.rels" ContentType="application/vnd.openxmlformats-package.relationships+xml"/>
  <Override PartName="/customXml/_rels/item2.xml.rels" ContentType="application/vnd.openxmlformats-package.relationships+xml"/>
  <Override PartName="/customXml/itemProps2.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Arial" w:hAnsi="Arial"/>
          <w:sz w:val="20"/>
          <w:szCs w:val="20"/>
          <w:u w:val="single"/>
        </w:rPr>
      </w:pPr>
      <w:r>
        <w:rPr>
          <w:rFonts w:ascii="Arial" w:hAnsi="Arial"/>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tbl>
      <w:tblPr>
        <w:tblStyle w:val="a0"/>
        <w:tblW w:w="8479" w:type="dxa"/>
        <w:jc w:val="left"/>
        <w:tblInd w:w="0" w:type="dxa"/>
        <w:tblCellMar>
          <w:top w:w="0" w:type="dxa"/>
          <w:left w:w="108" w:type="dxa"/>
          <w:bottom w:w="0" w:type="dxa"/>
          <w:right w:w="108" w:type="dxa"/>
        </w:tblCellMar>
        <w:tblLook w:firstRow="1" w:noVBand="1" w:lastRow="0" w:firstColumn="1" w:lastColumn="0" w:noHBand="0" w:val="04a0"/>
      </w:tblPr>
      <w:tblGrid>
        <w:gridCol w:w="3226"/>
        <w:gridCol w:w="5252"/>
      </w:tblGrid>
      <w:tr>
        <w:trPr>
          <w:trHeight w:val="2470" w:hRule="atLeast"/>
          <w:cnfStyle w:val="100000000000" w:firstRow="1" w:lastRow="0" w:firstColumn="0" w:lastColumn="0" w:oddVBand="0" w:evenVBand="0" w:oddHBand="0" w:evenHBand="0" w:firstRowFirstColumn="0" w:firstRowLastColumn="0" w:lastRowFirstColumn="0" w:lastRowLastColumn="0"/>
        </w:trPr>
        <w:tc>
          <w:tcPr>
            <w:tcW w:w="3226" w:type="dxa"/>
            <w:cnfStyle w:val="001000000000" w:firstRow="0" w:lastRow="0" w:firstColumn="1" w:lastColumn="0" w:oddVBand="0" w:evenVBand="0" w:oddHBand="0" w:evenHBand="0" w:firstRowFirstColumn="0" w:firstRowLastColumn="0" w:lastRowFirstColumn="0" w:lastRowLastColumn="0"/>
            <w:tcBorders>
              <w:top w:val="single" w:sz="8" w:space="0" w:color="4F81BD"/>
              <w:bottom w:val="single" w:sz="8" w:space="0" w:color="4F81BD"/>
            </w:tcBorders>
            <w:shd w:color="auto" w:fill="548DD4" w:val="clear"/>
          </w:tcPr>
          <w:p>
            <w:pPr>
              <w:pStyle w:val="Normal"/>
              <w:jc w:val="center"/>
              <w:rPr>
                <w:color w:val="FFFFFF"/>
                <w:sz w:val="28"/>
                <w:szCs w:val="28"/>
              </w:rPr>
            </w:pPr>
            <w:r>
              <w:rPr>
                <w:rFonts w:ascii="Arial" w:hAnsi="Arial"/>
                <w:color w:val="FFFFFF"/>
                <w:sz w:val="20"/>
                <w:szCs w:val="20"/>
              </w:rPr>
              <w:t xml:space="preserve">IES LA PUEBLA DE  </w:t>
            </w:r>
          </w:p>
          <w:p>
            <w:pPr>
              <w:pStyle w:val="Normal"/>
              <w:spacing w:before="0" w:after="200"/>
              <w:jc w:val="center"/>
              <w:rPr>
                <w:u w:val="single"/>
              </w:rPr>
            </w:pPr>
            <w:r>
              <w:rPr>
                <w:rFonts w:ascii="Arial" w:hAnsi="Arial"/>
                <w:color w:val="FFFFFF"/>
                <w:sz w:val="20"/>
                <w:szCs w:val="20"/>
              </w:rPr>
              <w:t xml:space="preserve">             </w:t>
            </w:r>
            <w:r>
              <w:rPr>
                <w:rFonts w:ascii="Arial" w:hAnsi="Arial"/>
                <w:color w:val="FFFFFF"/>
                <w:sz w:val="20"/>
                <w:szCs w:val="20"/>
              </w:rPr>
              <w:t>ALFINDÉN</w:t>
            </w:r>
          </w:p>
        </w:tc>
        <w:tc>
          <w:tcPr>
            <w:tcW w:w="5252" w:type="dxa"/>
            <w:tcBorders>
              <w:top w:val="single" w:sz="8" w:space="0" w:color="4F81BD"/>
              <w:bottom w:val="single" w:sz="8" w:space="0" w:color="4F81BD"/>
            </w:tcBorders>
            <w:shd w:color="auto" w:fill="auto" w:val="clear"/>
          </w:tcPr>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b w:val="false"/>
                <w:color w:val="1F497D"/>
                <w:sz w:val="22"/>
                <w:szCs w:val="22"/>
              </w:rPr>
              <w:t xml:space="preserve">PROGRAMACIÓN DIDÁCTICA DE FÍSICA Y QUÍMICA </w:t>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color w:val="1F497D"/>
                <w:sz w:val="22"/>
                <w:szCs w:val="22"/>
              </w:rPr>
            </w:pPr>
            <w:r>
              <w:rPr>
                <w:rFonts w:ascii="Cambria" w:hAnsi="Cambria"/>
                <w:color w:val="1F497D"/>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b w:val="false"/>
                <w:color w:val="1F497D"/>
                <w:sz w:val="22"/>
                <w:szCs w:val="22"/>
              </w:rPr>
              <w:t>3º EDUCACIÓN SECUNDARIA OBLIGATORIA</w:t>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color w:val="1F497D"/>
                <w:sz w:val="22"/>
                <w:szCs w:val="22"/>
              </w:rPr>
            </w:pPr>
            <w:r>
              <w:rPr>
                <w:rFonts w:ascii="Cambria" w:hAnsi="Cambria"/>
                <w:color w:val="1F497D"/>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bookmarkStart w:id="0" w:name="_heading=h.gjdgxs"/>
            <w:bookmarkEnd w:id="0"/>
            <w:r>
              <w:rPr>
                <w:rFonts w:ascii="Cambria" w:hAnsi="Cambria"/>
                <w:b w:val="false"/>
                <w:color w:val="1F497D"/>
                <w:sz w:val="22"/>
                <w:szCs w:val="22"/>
              </w:rPr>
              <w:t>CURSO 2025-2026</w:t>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sz w:val="22"/>
                <w:szCs w:val="22"/>
              </w:rPr>
            </w:r>
          </w:p>
          <w:p>
            <w:pPr>
              <w:pStyle w:val="Normal"/>
              <w:spacing w:before="0" w:after="200"/>
              <w:cnfStyle w:val="100000000000" w:firstRow="1" w:lastRow="0" w:firstColumn="0" w:lastColumn="0" w:oddVBand="0" w:evenVBand="0" w:oddHBand="0" w:evenHBand="0" w:firstRowFirstColumn="0" w:firstRowLastColumn="0" w:lastRowFirstColumn="0" w:lastRowLastColumn="0"/>
              <w:rPr>
                <w:rFonts w:ascii="Cambria" w:hAnsi="Cambria"/>
                <w:sz w:val="22"/>
                <w:szCs w:val="22"/>
                <w:u w:val="single"/>
              </w:rPr>
            </w:pPr>
            <w:r>
              <w:rPr>
                <w:rFonts w:ascii="Cambria" w:hAnsi="Cambria"/>
                <w:sz w:val="22"/>
                <w:szCs w:val="22"/>
                <w:u w:val="single"/>
              </w:rPr>
            </w:r>
          </w:p>
        </w:tc>
      </w:tr>
    </w:tbl>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jc w:val="both"/>
        <w:rPr>
          <w:rFonts w:ascii="Cambria" w:hAnsi="Cambria" w:eastAsia="Cambria" w:cs="Cambria"/>
          <w:b/>
          <w:b/>
          <w:u w:val="single"/>
        </w:rPr>
      </w:pPr>
      <w:r>
        <w:br w:type="column"/>
      </w:r>
      <w:r>
        <w:rPr>
          <w:rFonts w:eastAsia="Cambria" w:cs="Cambria"/>
          <w:b/>
          <w:sz w:val="22"/>
          <w:szCs w:val="22"/>
          <w:u w:val="single"/>
        </w:rPr>
        <w:t>ÍNDICE</w:t>
      </w:r>
    </w:p>
    <w:p>
      <w:pPr>
        <w:pStyle w:val="Normal"/>
        <w:jc w:val="both"/>
        <w:rPr>
          <w:rFonts w:ascii="Cambria" w:hAnsi="Cambria" w:eastAsia="Cambria" w:cs="Cambria"/>
        </w:rPr>
      </w:pPr>
      <w:r>
        <w:rPr>
          <w:rFonts w:eastAsia="Cambria" w:cs="Cambria"/>
          <w:sz w:val="22"/>
          <w:szCs w:val="22"/>
        </w:rPr>
        <w:t>INTRODUCCIÓN</w:t>
      </w:r>
    </w:p>
    <w:p>
      <w:pPr>
        <w:pStyle w:val="Normal"/>
        <w:jc w:val="both"/>
        <w:rPr>
          <w:rFonts w:ascii="Cambria" w:hAnsi="Cambria" w:eastAsia="Cambria" w:cs="Cambria"/>
        </w:rPr>
      </w:pPr>
      <w:r>
        <w:rPr>
          <w:rFonts w:eastAsia="Cambria" w:cs="Cambria"/>
          <w:sz w:val="22"/>
          <w:szCs w:val="22"/>
        </w:rPr>
        <w:t>1. COMPETENCIAS ESPECÍFICAS Y CRITERIOS DE EVALUACIÓN ASOCIADOS A ELLAS</w:t>
      </w:r>
    </w:p>
    <w:p>
      <w:pPr>
        <w:pStyle w:val="Normal"/>
        <w:jc w:val="both"/>
        <w:rPr>
          <w:rFonts w:ascii="Cambria" w:hAnsi="Cambria" w:eastAsia="Cambria" w:cs="Cambria"/>
        </w:rPr>
      </w:pPr>
      <w:r>
        <w:rPr>
          <w:rFonts w:eastAsia="Cambria" w:cs="Cambria"/>
          <w:sz w:val="22"/>
          <w:szCs w:val="22"/>
        </w:rPr>
        <w:t>2. CONCRECIÓN, AGRUPAMIENTO Y SECUENCIACIÓN DE LOS SABERES BÁSICOS Y DE LOS CRITERIOS DE EVALUACIÓN EN UNIDADES DIDÁCTICAS</w:t>
      </w:r>
    </w:p>
    <w:p>
      <w:pPr>
        <w:pStyle w:val="Normal"/>
        <w:jc w:val="both"/>
        <w:rPr>
          <w:rFonts w:ascii="Cambria" w:hAnsi="Cambria" w:eastAsia="Cambria" w:cs="Cambria"/>
        </w:rPr>
      </w:pPr>
      <w:r>
        <w:rPr>
          <w:rFonts w:eastAsia="Cambria" w:cs="Cambria"/>
          <w:sz w:val="22"/>
          <w:szCs w:val="22"/>
        </w:rPr>
        <w:t>3. PROCEDIMIENTOS E INSTRUMENTOS DE EVALUACIÓN</w:t>
      </w:r>
    </w:p>
    <w:p>
      <w:pPr>
        <w:pStyle w:val="Normal"/>
        <w:jc w:val="both"/>
        <w:rPr>
          <w:rFonts w:ascii="Calibri" w:hAnsi="Calibri"/>
          <w:sz w:val="22"/>
          <w:szCs w:val="22"/>
        </w:rPr>
      </w:pPr>
      <w:r>
        <w:rPr>
          <w:rFonts w:eastAsia="Cambria" w:cs="Cambria"/>
          <w:sz w:val="22"/>
          <w:szCs w:val="22"/>
        </w:rPr>
        <w:t xml:space="preserve">4. CRITERIOS DE CALIFICACIÓN Y RELACIÓN CON CRITERIOS DE EVALUACIÓN </w:t>
      </w:r>
    </w:p>
    <w:p>
      <w:pPr>
        <w:pStyle w:val="Normal"/>
        <w:jc w:val="both"/>
        <w:rPr>
          <w:rFonts w:ascii="Cambria" w:hAnsi="Cambria" w:eastAsia="Cambria" w:cs="Cambria"/>
        </w:rPr>
      </w:pPr>
      <w:r>
        <w:rPr>
          <w:rFonts w:eastAsia="Cambria" w:cs="Cambria"/>
          <w:sz w:val="22"/>
          <w:szCs w:val="22"/>
        </w:rPr>
        <w:t>5. EVALUACIÓN INICIAL</w:t>
      </w:r>
    </w:p>
    <w:p>
      <w:pPr>
        <w:pStyle w:val="Normal"/>
        <w:jc w:val="both"/>
        <w:rPr>
          <w:rFonts w:ascii="Cambria" w:hAnsi="Cambria" w:eastAsia="Cambria" w:cs="Cambria"/>
        </w:rPr>
      </w:pPr>
      <w:r>
        <w:rPr>
          <w:rFonts w:eastAsia="Cambria" w:cs="Cambria"/>
          <w:sz w:val="22"/>
          <w:szCs w:val="22"/>
        </w:rPr>
        <w:t xml:space="preserve">6. ACTUACIONES GENERALES DE ATENCIÓN A LAS DIFERENCIAS INDIVIDUALES Y ADAPTACIONES CURRICULARES </w:t>
      </w:r>
    </w:p>
    <w:p>
      <w:pPr>
        <w:pStyle w:val="Normal"/>
        <w:jc w:val="both"/>
        <w:rPr>
          <w:rFonts w:ascii="Cambria" w:hAnsi="Cambria" w:eastAsia="Cambria" w:cs="Cambria"/>
        </w:rPr>
      </w:pPr>
      <w:r>
        <w:rPr>
          <w:rFonts w:eastAsia="Cambria" w:cs="Cambria"/>
          <w:sz w:val="22"/>
          <w:szCs w:val="22"/>
        </w:rPr>
        <w:t>7. PLAN DE SEGUIMIENTO PARA EL ALUMNADO QUE NO HA PROMOCIONADO</w:t>
      </w:r>
    </w:p>
    <w:p>
      <w:pPr>
        <w:pStyle w:val="Normal"/>
        <w:jc w:val="both"/>
        <w:rPr>
          <w:rFonts w:ascii="Cambria" w:hAnsi="Cambria" w:eastAsia="Cambria" w:cs="Cambria"/>
        </w:rPr>
      </w:pPr>
      <w:r>
        <w:rPr>
          <w:rFonts w:eastAsia="Cambria" w:cs="Cambria"/>
          <w:sz w:val="22"/>
          <w:szCs w:val="22"/>
        </w:rPr>
        <w:t>8. PLAN DE REFUERZO PARA MATERIAS O ÁMBITOS NO SUPERADOS</w:t>
      </w:r>
    </w:p>
    <w:p>
      <w:pPr>
        <w:pStyle w:val="Normal"/>
        <w:jc w:val="both"/>
        <w:rPr>
          <w:rFonts w:ascii="Cambria" w:hAnsi="Cambria" w:eastAsia="Cambria" w:cs="Cambria"/>
        </w:rPr>
      </w:pPr>
      <w:r>
        <w:rPr>
          <w:rFonts w:eastAsia="Cambria" w:cs="Cambria"/>
          <w:sz w:val="22"/>
          <w:szCs w:val="22"/>
        </w:rPr>
        <w:t>9. ESTRATEGIAS DIDÁCTICAS Y METODOLÓGICAS</w:t>
      </w:r>
    </w:p>
    <w:p>
      <w:pPr>
        <w:pStyle w:val="Normal"/>
        <w:jc w:val="both"/>
        <w:rPr>
          <w:rFonts w:ascii="Cambria" w:hAnsi="Cambria" w:eastAsia="Cambria" w:cs="Cambria"/>
        </w:rPr>
      </w:pPr>
      <w:r>
        <w:rPr>
          <w:rFonts w:eastAsia="Cambria" w:cs="Cambria"/>
          <w:sz w:val="22"/>
          <w:szCs w:val="22"/>
        </w:rPr>
        <w:t>10. CONCRECIÓN DEL PLAN LECTOR</w:t>
      </w:r>
    </w:p>
    <w:p>
      <w:pPr>
        <w:pStyle w:val="Normal"/>
        <w:jc w:val="both"/>
        <w:rPr>
          <w:rFonts w:ascii="Cambria" w:hAnsi="Cambria" w:eastAsia="Cambria" w:cs="Cambria"/>
        </w:rPr>
      </w:pPr>
      <w:r>
        <w:rPr>
          <w:rFonts w:eastAsia="Cambria" w:cs="Cambria"/>
          <w:sz w:val="22"/>
          <w:szCs w:val="22"/>
        </w:rPr>
        <w:t>11. CONCRECIÓN DEL PLAN DE IMPLEMENTACIÓN DE ELEMENTOS TRANSVERSALES</w:t>
      </w:r>
    </w:p>
    <w:p>
      <w:pPr>
        <w:pStyle w:val="Normal"/>
        <w:jc w:val="both"/>
        <w:rPr>
          <w:rFonts w:ascii="Cambria" w:hAnsi="Cambria" w:eastAsia="Cambria" w:cs="Cambria"/>
        </w:rPr>
      </w:pPr>
      <w:r>
        <w:rPr>
          <w:rFonts w:eastAsia="Cambria" w:cs="Cambria"/>
          <w:sz w:val="22"/>
          <w:szCs w:val="22"/>
        </w:rPr>
        <w:t xml:space="preserve">12. CONCRECIÓN DEL PLAN DE UTILIZACIÓN DE LAS TECNOLOGÍAS DIGITALES </w:t>
      </w:r>
    </w:p>
    <w:p>
      <w:pPr>
        <w:pStyle w:val="Normal"/>
        <w:jc w:val="both"/>
        <w:rPr>
          <w:rFonts w:ascii="Cambria" w:hAnsi="Cambria" w:eastAsia="Cambria" w:cs="Cambria"/>
        </w:rPr>
      </w:pPr>
      <w:r>
        <w:rPr>
          <w:rFonts w:eastAsia="Cambria" w:cs="Cambria"/>
          <w:sz w:val="22"/>
          <w:szCs w:val="22"/>
        </w:rPr>
        <w:t>13. EN SU CASO, MEDIDAS COMPLEMENTARIAS QUE SE PLANTEAN PARA EL TRATAMIENTO DE LAS MATERIAS DENTRO DEL PROYECTO BILINGÜE</w:t>
      </w:r>
    </w:p>
    <w:p>
      <w:pPr>
        <w:pStyle w:val="Normal"/>
        <w:jc w:val="both"/>
        <w:rPr>
          <w:rFonts w:ascii="Cambria" w:hAnsi="Cambria" w:eastAsia="Cambria" w:cs="Cambria"/>
        </w:rPr>
      </w:pPr>
      <w:r>
        <w:rPr>
          <w:rFonts w:eastAsia="Cambria" w:cs="Cambria"/>
          <w:sz w:val="22"/>
          <w:szCs w:val="22"/>
        </w:rPr>
        <w:t>14. MECANISMOS DE REVISIÓN, EVALUACIÓN Y MODIFICACIÓN DE LAS PROGRAMACIONES DIDÁCTICAS</w:t>
      </w:r>
    </w:p>
    <w:p>
      <w:pPr>
        <w:pStyle w:val="Normal"/>
        <w:jc w:val="both"/>
        <w:rPr>
          <w:rFonts w:ascii="Cambria" w:hAnsi="Cambria" w:eastAsia="Cambria" w:cs="Cambria"/>
        </w:rPr>
      </w:pPr>
      <w:r>
        <w:rPr>
          <w:rFonts w:eastAsia="Cambria" w:cs="Cambria"/>
          <w:sz w:val="22"/>
          <w:szCs w:val="22"/>
        </w:rPr>
        <w:t>15. ACTIVIDADES COMPLEMENTARIAS Y EXTRAESCOLARES</w:t>
      </w:r>
    </w:p>
    <w:p>
      <w:pPr>
        <w:pStyle w:val="Normal"/>
        <w:jc w:val="both"/>
        <w:rPr>
          <w:rFonts w:ascii="Cambria" w:hAnsi="Cambria" w:eastAsia="Cambria" w:cs="Cambria"/>
          <w:smallCaps/>
        </w:rPr>
      </w:pPr>
      <w:r>
        <w:rPr>
          <w:rFonts w:eastAsia="Cambria" w:cs="Cambria"/>
          <w:smallCaps/>
          <w:sz w:val="22"/>
          <w:szCs w:val="22"/>
        </w:rPr>
        <w:t>16. FORMA EN LA QUE SE DAN A CONOCER LOS ASPECTOS RELEVANTES DE ESTA PROGRAMACIÓN AL ALUMNADO Y LAS FAMILIAS</w:t>
      </w:r>
    </w:p>
    <w:p>
      <w:pPr>
        <w:pStyle w:val="Normal"/>
        <w:jc w:val="both"/>
        <w:rPr>
          <w:rFonts w:ascii="Cambria" w:hAnsi="Cambria" w:eastAsia="Cambria" w:cs="Cambria"/>
        </w:rPr>
      </w:pPr>
      <w:r>
        <w:rPr>
          <w:rFonts w:eastAsia="Cambria" w:cs="Cambria"/>
          <w:sz w:val="22"/>
          <w:szCs w:val="22"/>
        </w:rPr>
        <w:t>17. OTRAS CONSIDERACIONES</w:t>
      </w:r>
    </w:p>
    <w:p>
      <w:pPr>
        <w:pStyle w:val="Normal"/>
        <w:jc w:val="both"/>
        <w:rPr>
          <w:rFonts w:ascii="Cambria" w:hAnsi="Cambria" w:eastAsia="Cambria" w:cs="Cambria"/>
          <w:b/>
          <w:b/>
          <w:u w:val="single"/>
        </w:rPr>
      </w:pPr>
      <w:r>
        <w:br w:type="column"/>
      </w:r>
      <w:r>
        <w:rPr>
          <w:rFonts w:eastAsia="Cambria" w:cs="Cambria"/>
          <w:b/>
          <w:sz w:val="22"/>
          <w:szCs w:val="22"/>
          <w:u w:val="single"/>
        </w:rPr>
        <w:t>INTRODUCCIÓN</w:t>
      </w:r>
    </w:p>
    <w:p>
      <w:pPr>
        <w:pStyle w:val="Normal"/>
        <w:jc w:val="both"/>
        <w:rPr>
          <w:rFonts w:ascii="Cambria" w:hAnsi="Cambria" w:eastAsia="Cambria" w:cs="Cambria"/>
        </w:rPr>
      </w:pPr>
      <w:r>
        <w:rPr>
          <w:rFonts w:eastAsia="Cambria" w:cs="Cambria"/>
          <w:sz w:val="22"/>
          <w:szCs w:val="22"/>
        </w:rPr>
        <w:t>Programación Didáctica de la materia Física y química perteneciente al tercer curso de ESO.</w:t>
      </w:r>
    </w:p>
    <w:p>
      <w:pPr>
        <w:pStyle w:val="Normal"/>
        <w:jc w:val="both"/>
        <w:rPr>
          <w:rFonts w:ascii="Cambria" w:hAnsi="Cambria" w:eastAsia="Cambria" w:cs="Cambria"/>
        </w:rPr>
      </w:pPr>
      <w:r>
        <w:rPr>
          <w:rFonts w:eastAsia="Cambria" w:cs="Cambria"/>
          <w:sz w:val="22"/>
          <w:szCs w:val="22"/>
        </w:rPr>
        <w:t>La normativa básica para la elaboración de esta programación es:</w:t>
      </w:r>
    </w:p>
    <w:p>
      <w:pPr>
        <w:pStyle w:val="Normal"/>
        <w:numPr>
          <w:ilvl w:val="0"/>
          <w:numId w:val="1"/>
        </w:numPr>
        <w:jc w:val="both"/>
        <w:rPr>
          <w:rFonts w:ascii="Cambria" w:hAnsi="Cambria" w:eastAsia="Cambria" w:cs="Cambria"/>
        </w:rPr>
      </w:pPr>
      <w:r>
        <w:rPr>
          <w:rFonts w:eastAsia="Cambria" w:cs="Cambria"/>
          <w:i/>
          <w:sz w:val="22"/>
          <w:szCs w:val="22"/>
        </w:rPr>
        <w:t>Orden de 18 de mayo de 2015, de la Consejera de Educación, Universidad, Cultura y Deporte, por la que se aprueban las Instrucciones que regulan la organización y el funcionamiento de los Institutos de Educación Secundaria de la Comunidad Autónoma de Aragón, modificada por Orden ECD/779/2016, de 11 de julio.</w:t>
      </w:r>
    </w:p>
    <w:p>
      <w:pPr>
        <w:pStyle w:val="Normal"/>
        <w:numPr>
          <w:ilvl w:val="0"/>
          <w:numId w:val="1"/>
        </w:numPr>
        <w:jc w:val="both"/>
        <w:rPr>
          <w:rFonts w:ascii="Cambria" w:hAnsi="Cambria" w:eastAsia="Cambria" w:cs="Cambria"/>
          <w:i/>
          <w:i/>
        </w:rPr>
      </w:pPr>
      <w:r>
        <w:rPr>
          <w:rFonts w:eastAsia="Cambria" w:cs="Cambria"/>
          <w:i/>
          <w:sz w:val="22"/>
          <w:szCs w:val="22"/>
        </w:rPr>
        <w:t>Orden ECD/1172/2022, de 2 de agosto, por la que se aprueban el currículo y las características de la evaluación de Educación Secundaria Obligatoria y se autoriza su aplicación en los centros docentes de la Comunidad Autónoma de Aragón.</w:t>
      </w:r>
    </w:p>
    <w:p>
      <w:pPr>
        <w:pStyle w:val="Normal"/>
        <w:jc w:val="both"/>
        <w:rPr>
          <w:rFonts w:ascii="Cambria" w:hAnsi="Cambria" w:eastAsia="Cambria" w:cs="Cambria"/>
          <w:b/>
          <w:b/>
          <w:u w:val="single"/>
        </w:rPr>
      </w:pPr>
      <w:r>
        <w:rPr>
          <w:rFonts w:eastAsia="Cambria" w:cs="Cambria"/>
          <w:b/>
          <w:sz w:val="22"/>
          <w:szCs w:val="22"/>
          <w:u w:val="single"/>
        </w:rPr>
        <w:t>1. COMPETENCIAS ESPECÍFICAS Y CRITERIOS DE EVALUACIÓN ASOCIADOS A ELLAS</w:t>
      </w:r>
    </w:p>
    <w:p>
      <w:pPr>
        <w:pStyle w:val="Normal"/>
        <w:jc w:val="both"/>
        <w:rPr>
          <w:rFonts w:ascii="Cambria" w:hAnsi="Cambria" w:eastAsia="Cambria" w:cs="Cambria"/>
        </w:rPr>
      </w:pPr>
      <w:r>
        <w:rPr>
          <w:rFonts w:eastAsia="Cambria" w:cs="Cambria"/>
          <w:sz w:val="22"/>
          <w:szCs w:val="22"/>
        </w:rPr>
        <w:t>Tal y como establece la Orden ECD/1172/2022, las competencias específicas de la materia de Física y Química y su relación con los criterios de evaluación de 3º de ESO son las siguientes:</w:t>
      </w:r>
    </w:p>
    <w:tbl>
      <w:tblPr>
        <w:tblStyle w:val="Tablaconcuadrcula"/>
        <w:tblW w:w="9923" w:type="dxa"/>
        <w:jc w:val="center"/>
        <w:tblInd w:w="0" w:type="dxa"/>
        <w:tblCellMar>
          <w:top w:w="0" w:type="dxa"/>
          <w:left w:w="108" w:type="dxa"/>
          <w:bottom w:w="0" w:type="dxa"/>
          <w:right w:w="108" w:type="dxa"/>
        </w:tblCellMar>
        <w:tblLook w:firstRow="1" w:noVBand="1" w:lastRow="0" w:firstColumn="1" w:lastColumn="0" w:noHBand="0" w:val="04a0"/>
      </w:tblPr>
      <w:tblGrid>
        <w:gridCol w:w="4957"/>
        <w:gridCol w:w="4965"/>
      </w:tblGrid>
      <w:tr>
        <w:trPr/>
        <w:tc>
          <w:tcPr>
            <w:tcW w:w="9922" w:type="dxa"/>
            <w:gridSpan w:val="2"/>
            <w:tcBorders/>
            <w:shd w:color="auto" w:fill="92CDDC" w:themeFill="accent5" w:themeFillTint="99" w:val="clear"/>
          </w:tcPr>
          <w:p>
            <w:pPr>
              <w:pStyle w:val="Normal"/>
              <w:spacing w:lineRule="auto" w:line="240" w:before="0" w:after="0"/>
              <w:jc w:val="center"/>
              <w:rPr>
                <w:b/>
                <w:b/>
              </w:rPr>
            </w:pPr>
            <w:r>
              <w:rPr>
                <w:rFonts w:eastAsia="Calibri" w:cs="" w:cstheme="minorBidi" w:eastAsiaTheme="minorHAnsi"/>
                <w:b/>
                <w:color w:val="auto"/>
                <w:sz w:val="22"/>
                <w:szCs w:val="22"/>
                <w:lang w:eastAsia="en-US"/>
              </w:rPr>
              <w:t>CE.FQ.1</w:t>
            </w:r>
          </w:p>
        </w:tc>
      </w:tr>
      <w:tr>
        <w:trPr/>
        <w:tc>
          <w:tcPr>
            <w:tcW w:w="9922" w:type="dxa"/>
            <w:gridSpan w:val="2"/>
            <w:tcBorders/>
            <w:shd w:color="auto" w:fill="DBE5F1" w:themeFill="accent1" w:themeFillTint="33" w:val="clear"/>
          </w:tcPr>
          <w:p>
            <w:pPr>
              <w:pStyle w:val="Normal"/>
              <w:spacing w:lineRule="auto" w:line="240" w:before="0" w:after="0"/>
              <w:rPr>
                <w:i/>
                <w:i/>
                <w:sz w:val="18"/>
                <w:szCs w:val="18"/>
              </w:rPr>
            </w:pPr>
            <w:r>
              <w:rPr>
                <w:rFonts w:eastAsia="Calibri" w:cs="" w:cstheme="minorBidi" w:eastAsiaTheme="minorHAnsi"/>
                <w:i/>
                <w:color w:val="auto"/>
                <w:sz w:val="22"/>
                <w:szCs w:val="22"/>
                <w:lang w:eastAsia="en-US"/>
              </w:rPr>
              <w:t>Comprender y relacionar los motivos por los que ocurren los principales fenómenos fisicoquímicos del entorno y explicarlos en términos de las leyes y teorías científicas adecuadas para resolver problemas con el fin de aplicarlas para mejorar la realidad cercana y la calidad de vida humana.</w:t>
            </w:r>
          </w:p>
        </w:tc>
      </w:tr>
      <w:tr>
        <w:trPr/>
        <w:tc>
          <w:tcPr>
            <w:tcW w:w="9922" w:type="dxa"/>
            <w:gridSpan w:val="2"/>
            <w:tcBorders/>
            <w:shd w:color="auto" w:fill="auto" w:val="clear"/>
          </w:tcPr>
          <w:p>
            <w:pPr>
              <w:pStyle w:val="Normal"/>
              <w:spacing w:lineRule="auto" w:line="240" w:before="0" w:after="0"/>
              <w:rPr>
                <w:color w:val="F79646" w:themeColor="accent6"/>
                <w:sz w:val="18"/>
                <w:szCs w:val="18"/>
              </w:rPr>
            </w:pPr>
            <w:r>
              <w:rPr>
                <w:rFonts w:eastAsia="Calibri" w:cs="" w:cstheme="minorBidi" w:eastAsiaTheme="minorHAnsi"/>
                <w:color w:val="auto"/>
                <w:sz w:val="22"/>
                <w:szCs w:val="22"/>
                <w:lang w:eastAsia="en-US"/>
              </w:rPr>
              <w:t>La valoración del grado de adquisición de esta competencia específica se realizará a través del planteamiento de situaciones problema en las que se deban aplicar las leyes y teorías científicas adecuadas, partiendo en los primeros cursos de situaciones simples que se resuelvan de forma directa y sencilla, para ir presentando a lo largo de la etapa situaciones más complejas y cercanas a la realidad que requieran relacionar diferentes conocimientos para su resolución. Se valorará el rigor en los planteamientos y desarrollos, especialmente en el razonamiento de los procedimientos evitando la aplicación mecánica de fórmulas y la presentación adecuada de los resultados utilizando las unidades de medida adecuadas.</w:t>
            </w:r>
          </w:p>
        </w:tc>
      </w:tr>
      <w:tr>
        <w:trPr/>
        <w:tc>
          <w:tcPr>
            <w:tcW w:w="4957"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1.1. Identificar, comprender y explicar los fenómenos fisicoquímicos cotidianos más relevantes a partir de los principios, teorías y leyes científicas adecuadas, expresándolos, de manera argumentada, utilizando diversidad de soportes y medios de comunicación.</w:t>
            </w:r>
          </w:p>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1.2. Resolver los problemas fisicoquímicos planteados utilizando las leyes y teorías científicas adecuadas, razonando los procedimientos utilizados para encontrar las soluciones y expresando adecuadamente los resultados.</w:t>
            </w:r>
          </w:p>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p>
        </w:tc>
        <w:tc>
          <w:tcPr>
            <w:tcW w:w="4965" w:type="dxa"/>
            <w:tcBorders/>
            <w:shd w:color="auto" w:fill="auto" w:val="clear"/>
          </w:tcPr>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1.1. Comprender y explicar con rigor los fenómenos fisicoquímicos cotidianos a partir de los principios, teorías y leyes científicas adecuadas, expresándolos de manera argumentada, utilizando diversidad de soportes y medios de comunicación.</w:t>
            </w:r>
          </w:p>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1.2. Resolver problemas fisicoquímicos planteados mediante las leyes y teorías científicas adecuadas, razonando los procedimientos utilizados para encontrar las soluciones y expresando los resultados con corrección y precisión.</w:t>
            </w:r>
          </w:p>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1.3. Reconocer y describir situaciones problemáticas reales de índole científica y emprender iniciativas colaborativas en las que la ciencia, y en particular la física y la química, pueden contribuir a su solución, analizando críticamente su impacto en la sociedad y el medio ambiente.</w:t>
            </w:r>
          </w:p>
        </w:tc>
      </w:tr>
      <w:tr>
        <w:trPr/>
        <w:tc>
          <w:tcPr>
            <w:tcW w:w="9922" w:type="dxa"/>
            <w:gridSpan w:val="2"/>
            <w:tcBorders/>
            <w:shd w:color="auto" w:fill="92CDDC" w:themeFill="accent5" w:themeFillTint="99" w:val="clear"/>
          </w:tcPr>
          <w:p>
            <w:pPr>
              <w:pStyle w:val="Normal"/>
              <w:spacing w:lineRule="auto" w:line="240" w:before="0" w:after="0"/>
              <w:jc w:val="center"/>
              <w:rPr>
                <w:b/>
                <w:b/>
              </w:rPr>
            </w:pPr>
            <w:r>
              <w:rPr>
                <w:rFonts w:eastAsia="Calibri" w:cs="" w:cstheme="minorBidi" w:eastAsiaTheme="minorHAnsi"/>
                <w:b/>
                <w:color w:val="auto"/>
                <w:sz w:val="22"/>
                <w:szCs w:val="22"/>
                <w:lang w:eastAsia="en-US"/>
              </w:rPr>
              <w:t>CE.FQ.2</w:t>
            </w:r>
          </w:p>
        </w:tc>
      </w:tr>
      <w:tr>
        <w:trPr/>
        <w:tc>
          <w:tcPr>
            <w:tcW w:w="9922" w:type="dxa"/>
            <w:gridSpan w:val="2"/>
            <w:tcBorders/>
            <w:shd w:color="auto" w:fill="DBE5F1" w:themeFill="accent1" w:themeFillTint="33" w:val="clear"/>
          </w:tcPr>
          <w:p>
            <w:pPr>
              <w:pStyle w:val="Normal"/>
              <w:spacing w:lineRule="auto" w:line="240" w:before="0" w:after="0"/>
              <w:rPr>
                <w:i/>
                <w:i/>
                <w:sz w:val="18"/>
                <w:szCs w:val="18"/>
              </w:rPr>
            </w:pPr>
            <w:r>
              <w:rPr>
                <w:rFonts w:eastAsia="Calibri" w:cs="" w:cstheme="minorBidi" w:eastAsiaTheme="minorHAnsi"/>
                <w:i/>
                <w:color w:val="auto"/>
                <w:sz w:val="22"/>
                <w:szCs w:val="22"/>
                <w:lang w:eastAsia="en-US"/>
              </w:rPr>
              <w:t>Expresar las observaciones realizadas por el alumnado en forma de preguntas, formular hipótesis para explicarlas y demostrar dichas hipótesis a través de la experimentación científica, la indagación y la búsqueda de evidencias, para desarrollar los razonamientos propios del pensamiento científico y mejorar las destrezas en el uso de las metodologías científicas.</w:t>
            </w:r>
          </w:p>
        </w:tc>
      </w:tr>
      <w:tr>
        <w:trPr/>
        <w:tc>
          <w:tcPr>
            <w:tcW w:w="9922" w:type="dxa"/>
            <w:gridSpan w:val="2"/>
            <w:tcBorders/>
            <w:shd w:color="auto" w:fill="auto" w:val="clear"/>
          </w:tcPr>
          <w:p>
            <w:pPr>
              <w:pStyle w:val="Normal"/>
              <w:spacing w:lineRule="auto" w:line="240" w:before="0" w:after="0"/>
              <w:rPr>
                <w:color w:val="F79646" w:themeColor="accent6"/>
                <w:sz w:val="18"/>
                <w:szCs w:val="18"/>
              </w:rPr>
            </w:pPr>
            <w:r>
              <w:rPr>
                <w:rFonts w:eastAsia="Calibri" w:cs="" w:cstheme="minorBidi" w:eastAsiaTheme="minorHAnsi"/>
                <w:color w:val="auto"/>
                <w:sz w:val="22"/>
                <w:szCs w:val="22"/>
                <w:lang w:eastAsia="en-US"/>
              </w:rPr>
              <w:t>Las metodologías de trabajo en la Ciencia que se plantean en esta competencia específica han mostrado su valor para el avance del conocimiento científico. Se valorará la adquisición de destrezas propias del trabajo científico a partir del planteamiento de situaciones en las que el alumnado deba poner en práctica estas metodologías, identificando cuestiones investigables, planteando hipótesis, diseñando experimentos sencillos para comprobar estas hipótesis y deduciendo de forma razonada conclusiones basándose en las evidencias disponibles. Se comprobará que el alumnado progresa a lo largo de la etapa de acuerdo con la evolución de sus mayores destrezas, especialmente las relacionadas con la capacidad de razonamiento y el de uso de las herramientas matemáticas.</w:t>
            </w:r>
          </w:p>
        </w:tc>
      </w:tr>
      <w:tr>
        <w:trPr/>
        <w:tc>
          <w:tcPr>
            <w:tcW w:w="4957"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2.1. Emplear las metodologías propias de la ciencia en la identificación y descripción de fenómenos a partir de cuestiones a las que se pueda dar respuesta a través de la indagación, la deducción, el trabajo experimental y el razonamiento lógico-matemático, diferenciándolas de aquellas pseudocientíficas que no admiten comprobación experimental.</w:t>
            </w:r>
          </w:p>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2.2. Seleccionar, de acuerdo con la naturaleza de las cuestiones que se traten, la mejor manera de comprobar o refutar las hipótesis formuladas, diseñando estrategias de indagación y búsqueda de evidencias que permitan obtener conclusiones y respuestas ajustadas a la naturaleza de la pregunta formulada.</w:t>
            </w:r>
          </w:p>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2.3. Aplicar las leyes y teorías científicas conocidas al formular cuestiones e hipótesis, siendo coherente con el conocimiento científico existente y diseñando los procedimientos experimentales o deductivos necesarios para resolverlas o comprobarlas.</w:t>
            </w:r>
          </w:p>
        </w:tc>
        <w:tc>
          <w:tcPr>
            <w:tcW w:w="4965" w:type="dxa"/>
            <w:tcBorders/>
            <w:shd w:color="auto" w:fill="auto" w:val="clear"/>
          </w:tcPr>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2.1. Emplear las metodologías propias de la ciencia en la identificación y descripción de  fenómenos científicos a partir de situaciones tanto observadas en el mundo natural como planteadas a través de enunciados con información textual, gráfica o numérica.</w:t>
            </w:r>
          </w:p>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2.2. Predecir, para las cuestiones planteadas, respuestas que se puedan comprobar con las herramientas y conocimientos adquiridos, tanto de forma experimental como deductiva, aplicando el razonamiento lógico-matemático en su proceso de validación.</w:t>
            </w:r>
          </w:p>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2.3. Aplicar las leyes y teorías científicas más importantes para validar hipótesis de manera informada y coherente con el conocimiento científico existente, diseñando los procedimientos experimentales o deductivos necesarios para resolverlas y analizar los resultados críticamente.</w:t>
            </w:r>
          </w:p>
        </w:tc>
      </w:tr>
      <w:tr>
        <w:trPr/>
        <w:tc>
          <w:tcPr>
            <w:tcW w:w="9922" w:type="dxa"/>
            <w:gridSpan w:val="2"/>
            <w:tcBorders/>
            <w:shd w:color="auto" w:fill="92CDDC" w:themeFill="accent5" w:themeFillTint="99" w:val="clear"/>
          </w:tcPr>
          <w:p>
            <w:pPr>
              <w:pStyle w:val="Normal"/>
              <w:spacing w:lineRule="auto" w:line="240" w:before="0" w:after="0"/>
              <w:jc w:val="center"/>
              <w:rPr>
                <w:b/>
                <w:b/>
              </w:rPr>
            </w:pPr>
            <w:r>
              <w:rPr>
                <w:rFonts w:eastAsia="Calibri" w:cs="" w:cstheme="minorBidi" w:eastAsiaTheme="minorHAnsi"/>
                <w:b/>
                <w:color w:val="auto"/>
                <w:sz w:val="22"/>
                <w:szCs w:val="22"/>
                <w:lang w:eastAsia="en-US"/>
              </w:rPr>
              <w:t>CE.FQ.3</w:t>
            </w:r>
          </w:p>
        </w:tc>
      </w:tr>
      <w:tr>
        <w:trPr/>
        <w:tc>
          <w:tcPr>
            <w:tcW w:w="9922" w:type="dxa"/>
            <w:gridSpan w:val="2"/>
            <w:tcBorders/>
            <w:shd w:color="auto" w:fill="DBE5F1" w:themeFill="accent1" w:themeFillTint="33" w:val="clear"/>
          </w:tcPr>
          <w:p>
            <w:pPr>
              <w:pStyle w:val="Normal"/>
              <w:spacing w:lineRule="auto" w:line="240" w:before="0" w:after="0"/>
              <w:rPr>
                <w:i/>
                <w:i/>
                <w:sz w:val="18"/>
                <w:szCs w:val="18"/>
              </w:rPr>
            </w:pPr>
            <w:r>
              <w:rPr>
                <w:rFonts w:eastAsia="Calibri" w:cs="" w:cstheme="minorBidi" w:eastAsiaTheme="minorHAnsi"/>
                <w:i/>
                <w:color w:val="auto"/>
                <w:sz w:val="22"/>
                <w:szCs w:val="22"/>
                <w:lang w:eastAsia="en-US"/>
              </w:rPr>
              <w:t>Manejar con soltura las reglas y normas básicas de la física y la química en lo referente al lenguaje de la IUPAC, al lenguaje matemático, al empleo de unidades de medida correctas, al uso seguro del laboratorio y a la interpretación y producción de datos e información en diferentes formatos y fuentes (textos, enunciados, tablas, gráficas, informes, manuales, diagramas, fórmulas, esquemas, modelos, símbolos, etc.), para reconocer el carácter universal y transversal del lenguaje científico y la necesidad de una comunicación fiable en investigación y ciencia entre diferentes países y culturas.</w:t>
            </w:r>
          </w:p>
        </w:tc>
      </w:tr>
      <w:tr>
        <w:trPr/>
        <w:tc>
          <w:tcPr>
            <w:tcW w:w="9922" w:type="dxa"/>
            <w:gridSpan w:val="2"/>
            <w:tcBorders/>
            <w:shd w:color="auto" w:fill="auto" w:val="clear"/>
          </w:tcPr>
          <w:p>
            <w:pPr>
              <w:pStyle w:val="Normal"/>
              <w:spacing w:lineRule="auto" w:line="240" w:before="0" w:after="0"/>
              <w:rPr>
                <w:color w:val="F79646" w:themeColor="accent6"/>
                <w:sz w:val="18"/>
                <w:szCs w:val="18"/>
              </w:rPr>
            </w:pPr>
            <w:r>
              <w:rPr>
                <w:rFonts w:eastAsia="Calibri" w:cs="" w:cstheme="minorBidi" w:eastAsiaTheme="minorHAnsi"/>
                <w:color w:val="auto"/>
                <w:sz w:val="22"/>
                <w:szCs w:val="22"/>
                <w:lang w:eastAsia="en-US"/>
              </w:rPr>
              <w:t>En un mundo globalizado, el uso de estándares es fundamental para el entendimiento y la colaboración que requiere el progreso científico. El alumnado deberá conocer las bases de los lenguajes utilizados en la Ciencia y demostrar que sabe utilizarlos de forma contextualizada. Para ello han de presentarse la información en diferentes formatos que será capaz de interpretar, primero de forma directa y limitando la información a la estrictamente necesaria, para progresivamente plantear situaciones en las que el alumnado demuestre que es capaz de seleccionar la información relevante y utilizarla de acuerdo con las reglas básicas tanto en el desarrollo de la resolución de problemas, como en la comunicación de los resultados.</w:t>
            </w:r>
          </w:p>
        </w:tc>
      </w:tr>
      <w:tr>
        <w:trPr/>
        <w:tc>
          <w:tcPr>
            <w:tcW w:w="4957"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3.1. Emplear datos en diferentes formatos para interpretar y comunicar información relativa a un proceso fisicoquímico concreto, relacionando entre sí lo que cada uno de ellos contiene, y extrayendo en cada caso lo más relevante para la resolución de un problema.</w:t>
            </w:r>
          </w:p>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3.2. Utilizar adecuadamente las reglas básicas de la física y la química, incluyendo el uso de unidades de medida, las herramientas matemáticas y las reglas de nomenclatura, consiguiendo una comunicación efectiva con toda la comunidad científica.</w:t>
            </w:r>
          </w:p>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3.3. Poner en práctica las normas de uso de los espacios específicos de la ciencia, como el laboratorio de Física y Química, asegurando la salud propia y colectiva, la conservación sostenible del medio ambiente y el cuidado de las instalaciones.</w:t>
            </w:r>
          </w:p>
        </w:tc>
        <w:tc>
          <w:tcPr>
            <w:tcW w:w="4965" w:type="dxa"/>
            <w:tcBorders/>
            <w:shd w:color="auto" w:fill="auto" w:val="clear"/>
          </w:tcPr>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3.1. Emplear fuentes variadas, fiables y seguras para seleccionar, interpretar, organizar y comunicar información relativa a un proceso fisicoquímico concreto, relacionando entre sí lo que cada una de ellas contiene, extrayendo en cada caso lo más relevante para la resolución de un problema y desechando todo lo que sea irrelevante.</w:t>
            </w:r>
          </w:p>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3.2. Utilizar adecuadamente las reglas básicas de la física y la química, incluyendo el uso correcto de varios sistemas de unidades, las herramientas matemáticas necesarias y las reglas de nomenclatura avanzadas, consiguiendo una comunicación efectiva con toda la comunidad científica.</w:t>
            </w:r>
          </w:p>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3.3. Aplicar con rigor las normas de uso de los espacios específicos de la ciencia, como el laboratorio de Física y Química, asegurando la salud propia y colectiva, la conservación sostenible del medio ambiente y el cuidado por las instalaciones.</w:t>
            </w:r>
          </w:p>
        </w:tc>
      </w:tr>
      <w:tr>
        <w:trPr/>
        <w:tc>
          <w:tcPr>
            <w:tcW w:w="9922" w:type="dxa"/>
            <w:gridSpan w:val="2"/>
            <w:tcBorders/>
            <w:shd w:color="auto" w:fill="92CDDC" w:themeFill="accent5" w:themeFillTint="99" w:val="clear"/>
          </w:tcPr>
          <w:p>
            <w:pPr>
              <w:pStyle w:val="Normal"/>
              <w:spacing w:lineRule="auto" w:line="240" w:before="0" w:after="0"/>
              <w:jc w:val="center"/>
              <w:rPr>
                <w:b/>
                <w:b/>
              </w:rPr>
            </w:pPr>
            <w:r>
              <w:rPr>
                <w:rFonts w:eastAsia="Calibri" w:cs="" w:cstheme="minorBidi" w:eastAsiaTheme="minorHAnsi"/>
                <w:b/>
                <w:color w:val="auto"/>
                <w:sz w:val="22"/>
                <w:szCs w:val="22"/>
                <w:lang w:eastAsia="en-US"/>
              </w:rPr>
              <w:t>CE.FQ.4</w:t>
            </w:r>
          </w:p>
        </w:tc>
      </w:tr>
      <w:tr>
        <w:trPr/>
        <w:tc>
          <w:tcPr>
            <w:tcW w:w="9922" w:type="dxa"/>
            <w:gridSpan w:val="2"/>
            <w:tcBorders/>
            <w:shd w:color="auto" w:fill="DBE5F1" w:themeFill="accent1" w:themeFillTint="33" w:val="clear"/>
          </w:tcPr>
          <w:p>
            <w:pPr>
              <w:pStyle w:val="Normal"/>
              <w:spacing w:lineRule="auto" w:line="240" w:before="0" w:after="0"/>
              <w:rPr>
                <w:i/>
                <w:i/>
                <w:sz w:val="18"/>
                <w:szCs w:val="18"/>
              </w:rPr>
            </w:pPr>
            <w:r>
              <w:rPr>
                <w:rFonts w:eastAsia="Calibri" w:cs="" w:cstheme="minorBidi" w:eastAsiaTheme="minorHAnsi"/>
                <w:i/>
                <w:color w:val="auto"/>
                <w:sz w:val="22"/>
                <w:szCs w:val="22"/>
                <w:lang w:eastAsia="en-US"/>
              </w:rPr>
              <w:t>Utilizar de forma crítica, eficiente y segura plataformas digitales y recursos variados, tanto para el trabajo individual como en equipo, para fomentar la creatividad, el desarrollo personal y el aprendizaje individual y social, mediante la consulta de información, la creación de materiales y la comunicación efectiva en los diferentes entornos de aprendizaje.</w:t>
            </w:r>
          </w:p>
        </w:tc>
      </w:tr>
      <w:tr>
        <w:trPr/>
        <w:tc>
          <w:tcPr>
            <w:tcW w:w="9922" w:type="dxa"/>
            <w:gridSpan w:val="2"/>
            <w:tcBorders/>
            <w:shd w:color="auto" w:fill="auto" w:val="clear"/>
          </w:tcPr>
          <w:p>
            <w:pPr>
              <w:pStyle w:val="Normal"/>
              <w:spacing w:lineRule="auto" w:line="240" w:before="0" w:after="0"/>
              <w:rPr>
                <w:color w:val="F79646" w:themeColor="accent6"/>
                <w:sz w:val="18"/>
                <w:szCs w:val="18"/>
              </w:rPr>
            </w:pPr>
            <w:r>
              <w:rPr>
                <w:rFonts w:eastAsia="Calibri" w:cs="" w:cstheme="minorBidi" w:eastAsiaTheme="minorHAnsi"/>
                <w:color w:val="auto"/>
                <w:sz w:val="22"/>
                <w:szCs w:val="22"/>
                <w:lang w:eastAsia="en-US"/>
              </w:rPr>
              <w:t>El desarrollo de la Competencia Digital sigue siendo esencial en esta etapa de Secundaria por lo que se aborda como competencia transversal y debería estar adquirida al final de la enseñanza obligatoria. Durante toda la Secundaria, en el área de Física y Química, se permite al alumnado conocer las fuentes de información y las aplicaciones informáticas para analizar el entorno que le rodea. En este área, el alumnado también podrá desarrollar destrezas necesarias para acceder a la información, procesarla y usarla para comunicarse de manera responsable, diseñar y crear contenidos, y resolver los problemas reales de un modo eficiente. Se pretende enriquecer las actividades de trabajo colaborativo entre el alumnado aumentando su curiosidad científica y su motivación por el aprendizaje sin olvidar el respeto a los principios éticos de uso y el conocimiento de sus derechos y libertades en el mundo digital.</w:t>
            </w:r>
          </w:p>
        </w:tc>
      </w:tr>
      <w:tr>
        <w:trPr/>
        <w:tc>
          <w:tcPr>
            <w:tcW w:w="4957"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4.1. Utilizar recursos variados, tradicionales y digitales, mejorando el aprendizaje autónomo y la interacción con otros miembros de la comunidad educativa, con respeto hacia docentes y estudiantes y analizando críticamente las aportaciones de cada participante.</w:t>
            </w:r>
          </w:p>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4.2. Trabajar de forma adecuada con medios variados, tradicionales y digitales, en la consulta de información y la creación de contenidos, seleccionando con criterio las fuentes más fiables y desechando las menos adecuadas y mejorando el aprendizaje propio y colectivo.</w:t>
            </w:r>
          </w:p>
        </w:tc>
        <w:tc>
          <w:tcPr>
            <w:tcW w:w="4965" w:type="dxa"/>
            <w:tcBorders/>
            <w:shd w:color="auto" w:fill="auto" w:val="clear"/>
          </w:tcPr>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4.1. Utilizar de forma eficiente recursos variados, tradicionales y digitales, mejorando el aprendizaje autónomo y la interacción con otros miembros de la comunidad educativa, de forma rigurosa y respetuosa y analizando críticamente las aportaciones de todos.</w:t>
            </w:r>
          </w:p>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4.2. Trabajar de forma versátil con medios variados, tradicionales y digitales, en la consulta de información y la creación de contenidos, seleccionando y empleando con criterio las fuentes y herramientas más fiables, desechando las menos adecuadas y mejorando el aprendizaje propio y colectivo.</w:t>
            </w:r>
          </w:p>
        </w:tc>
      </w:tr>
      <w:tr>
        <w:trPr/>
        <w:tc>
          <w:tcPr>
            <w:tcW w:w="9922" w:type="dxa"/>
            <w:gridSpan w:val="2"/>
            <w:tcBorders/>
            <w:shd w:color="auto" w:fill="92CDDC" w:themeFill="accent5" w:themeFillTint="99" w:val="clear"/>
          </w:tcPr>
          <w:p>
            <w:pPr>
              <w:pStyle w:val="Normal"/>
              <w:spacing w:lineRule="auto" w:line="240" w:before="0" w:after="0"/>
              <w:jc w:val="center"/>
              <w:rPr>
                <w:b/>
                <w:b/>
              </w:rPr>
            </w:pPr>
            <w:r>
              <w:rPr>
                <w:rFonts w:eastAsia="Calibri" w:cs="" w:cstheme="minorBidi" w:eastAsiaTheme="minorHAnsi"/>
                <w:b/>
                <w:color w:val="auto"/>
                <w:sz w:val="22"/>
                <w:szCs w:val="22"/>
                <w:lang w:eastAsia="en-US"/>
              </w:rPr>
              <w:t>CE.FQ.5</w:t>
            </w:r>
          </w:p>
        </w:tc>
      </w:tr>
      <w:tr>
        <w:trPr/>
        <w:tc>
          <w:tcPr>
            <w:tcW w:w="9922" w:type="dxa"/>
            <w:gridSpan w:val="2"/>
            <w:tcBorders/>
            <w:shd w:color="auto" w:fill="DBE5F1" w:themeFill="accent1" w:themeFillTint="33" w:val="clear"/>
          </w:tcPr>
          <w:p>
            <w:pPr>
              <w:pStyle w:val="Normal"/>
              <w:spacing w:lineRule="auto" w:line="240" w:before="0" w:after="0"/>
              <w:rPr>
                <w:i/>
                <w:i/>
                <w:sz w:val="18"/>
                <w:szCs w:val="18"/>
              </w:rPr>
            </w:pPr>
            <w:r>
              <w:rPr>
                <w:rFonts w:eastAsia="Calibri" w:cs="" w:cstheme="minorBidi" w:eastAsiaTheme="minorHAnsi"/>
                <w:i/>
                <w:color w:val="auto"/>
                <w:sz w:val="22"/>
                <w:szCs w:val="22"/>
                <w:lang w:eastAsia="en-US"/>
              </w:rPr>
              <w:t>Utilizar las estrategias propias del trabajo colaborativo que permitan potenciar el crecimiento entre iguales como base emprendedora de una comunidad científica crítica, ética y eficiente, para comprender la importancia de la ciencia en la mejora de la sociedad, las aplicaciones y repercusiones de los avances científicos, la preservación de la salud y la conservación sostenible del medio ambiente.</w:t>
            </w:r>
          </w:p>
        </w:tc>
      </w:tr>
      <w:tr>
        <w:trPr/>
        <w:tc>
          <w:tcPr>
            <w:tcW w:w="9922" w:type="dxa"/>
            <w:gridSpan w:val="2"/>
            <w:tcBorders/>
            <w:shd w:color="auto" w:fill="auto" w:val="clear"/>
          </w:tcPr>
          <w:p>
            <w:pPr>
              <w:pStyle w:val="Normal"/>
              <w:spacing w:lineRule="auto" w:line="240" w:before="0" w:after="0"/>
              <w:rPr>
                <w:color w:val="F79646" w:themeColor="accent6"/>
                <w:sz w:val="18"/>
                <w:szCs w:val="18"/>
              </w:rPr>
            </w:pPr>
            <w:r>
              <w:rPr>
                <w:rFonts w:eastAsia="Calibri" w:cs="" w:cstheme="minorBidi" w:eastAsiaTheme="minorHAnsi"/>
                <w:color w:val="auto"/>
                <w:sz w:val="22"/>
                <w:szCs w:val="22"/>
                <w:lang w:eastAsia="en-US"/>
              </w:rPr>
              <w:t>El trabajo colaborativo es una metodología educativa que promueve el aprendizaje centrado en el alumno y basado en el trabajo en grupos pequeños, en los que el alumnado con diferente nivel de habilidad utiliza una variedad de actividades de aprendizaje para mejorar su entendimiento. Se trata de fomentar las interacciones constructivas entre los alumnos del equipo presentando situaciones relacionadas con diferentes ámbitos de la ciencia que les facilite aparecer como sujetos activos de su propio proceso de aprendizaje. Todo ello se llevará a cabo desde la garantía de la equidad entre mujeres y hombres, fomentando así la coeducación y disfrutando de la riqueza que ofrece la variedad. Asimismo, es necesario que el alumnado sea capaz de iniciar y llevar a cabo proyectos de carácter científico que tengan como base fundamental la metodología impartida. Todos ellos, deben de presentar un carácter integrador para que el alumno se implique en la mejora y enriquecimiento del ámbito social, fomentando así el aprendizaje significativo, y a su vez se reconozca y se reafirme la utilidad que poseen los resultados para el individuo como ser y como sociedad en continuo cambio. Concretamente, en 2º y 3º de la ESO, el alumnado debe de ser guiado a lo largo de la elaboración de los proyectos, brindándoles todo tipo de pautas para que en todo momento su trabajo esté encaminado hacia el producto final. Sin embargo, en 4º de la ESO, se considera que los alumnos deben comenzar a desarrollar estrategias de autonomía y emprendimiento, de tal manera que se fomente la autodisciplina, la creatividad y el compromiso, entre otros, pero siempre considerando al profesorado como guía principal.</w:t>
            </w:r>
          </w:p>
        </w:tc>
      </w:tr>
      <w:tr>
        <w:trPr/>
        <w:tc>
          <w:tcPr>
            <w:tcW w:w="4957"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5.1. Establecer interacciones constructivas y coeducativas, emprendiendo actividades de cooperación como forma de construir un medio de trabajo eficiente en la ciencia.</w:t>
            </w:r>
          </w:p>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5.2. Emprender, de forma guiada y de acuerdo a la metodología adecuada, proyectos científicos que involucren al alumnado en la mejora de la sociedad y que creen valor para el individuo y para la comunidad.</w:t>
            </w:r>
          </w:p>
        </w:tc>
        <w:tc>
          <w:tcPr>
            <w:tcW w:w="4965" w:type="dxa"/>
            <w:tcBorders/>
            <w:shd w:color="auto" w:fill="auto" w:val="clear"/>
          </w:tcPr>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5.1. Establecer interacciones constructivas y coeducativas, emprendiendo actividades de cooperación e iniciando el uso de las estrategias propias del trabajo colaborativo, como forma de construir un medio de trabajo eficiente en la ciencia.</w:t>
            </w:r>
          </w:p>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5.2. Emprender, de forma autónoma y de acuerdo a la metodología adecuada, proyectos científicos que involucren al alumnado en la mejora de la sociedad y que creen valor para el individuo y para la comunidad.</w:t>
            </w:r>
          </w:p>
        </w:tc>
      </w:tr>
      <w:tr>
        <w:trPr/>
        <w:tc>
          <w:tcPr>
            <w:tcW w:w="9922" w:type="dxa"/>
            <w:gridSpan w:val="2"/>
            <w:tcBorders/>
            <w:shd w:color="auto" w:fill="92CDDC" w:themeFill="accent5" w:themeFillTint="99" w:val="clear"/>
          </w:tcPr>
          <w:p>
            <w:pPr>
              <w:pStyle w:val="Normal"/>
              <w:spacing w:lineRule="auto" w:line="240" w:before="0" w:after="0"/>
              <w:jc w:val="center"/>
              <w:rPr>
                <w:b/>
                <w:b/>
              </w:rPr>
            </w:pPr>
            <w:r>
              <w:rPr>
                <w:rFonts w:eastAsia="Calibri" w:cs="" w:cstheme="minorBidi" w:eastAsiaTheme="minorHAnsi"/>
                <w:b/>
                <w:color w:val="auto"/>
                <w:sz w:val="22"/>
                <w:szCs w:val="22"/>
                <w:lang w:eastAsia="en-US"/>
              </w:rPr>
              <w:t>CE.FQ.6</w:t>
            </w:r>
          </w:p>
        </w:tc>
      </w:tr>
      <w:tr>
        <w:trPr/>
        <w:tc>
          <w:tcPr>
            <w:tcW w:w="9922" w:type="dxa"/>
            <w:gridSpan w:val="2"/>
            <w:tcBorders/>
            <w:shd w:color="auto" w:fill="DBE5F1" w:themeFill="accent1" w:themeFillTint="33" w:val="clear"/>
          </w:tcPr>
          <w:p>
            <w:pPr>
              <w:pStyle w:val="Normal"/>
              <w:spacing w:lineRule="auto" w:line="240" w:before="0" w:after="0"/>
              <w:rPr>
                <w:i/>
                <w:i/>
                <w:sz w:val="18"/>
                <w:szCs w:val="18"/>
              </w:rPr>
            </w:pPr>
            <w:r>
              <w:rPr>
                <w:rFonts w:eastAsia="Calibri" w:cs="" w:cstheme="minorBidi" w:eastAsiaTheme="minorHAnsi"/>
                <w:i/>
                <w:color w:val="auto"/>
                <w:sz w:val="22"/>
                <w:szCs w:val="22"/>
                <w:lang w:eastAsia="en-US"/>
              </w:rPr>
              <w:t>Comprender y valorar la ciencia como una construcción colectiva en continuo cambio y evolución, en la que no solo participan las personas dedicadas a la ciencia, sino que también requiere de una interacción con el resto de la sociedad, para obtener resultados que repercutan en el avance tecnológico, económico, ambiental y social.</w:t>
            </w:r>
          </w:p>
        </w:tc>
      </w:tr>
      <w:tr>
        <w:trPr/>
        <w:tc>
          <w:tcPr>
            <w:tcW w:w="9922" w:type="dxa"/>
            <w:gridSpan w:val="2"/>
            <w:tcBorders/>
            <w:shd w:color="auto" w:fill="auto" w:val="clear"/>
          </w:tcPr>
          <w:p>
            <w:pPr>
              <w:pStyle w:val="Normal"/>
              <w:spacing w:lineRule="auto" w:line="240" w:before="0" w:after="0"/>
              <w:rPr>
                <w:color w:val="F79646" w:themeColor="accent6"/>
                <w:sz w:val="18"/>
                <w:szCs w:val="18"/>
              </w:rPr>
            </w:pPr>
            <w:r>
              <w:rPr>
                <w:rFonts w:eastAsia="Calibri" w:cs="" w:cstheme="minorBidi" w:eastAsiaTheme="minorHAnsi"/>
                <w:color w:val="auto"/>
                <w:sz w:val="22"/>
                <w:szCs w:val="22"/>
                <w:lang w:eastAsia="en-US"/>
              </w:rPr>
              <w:t>Se considera que el alumnado debe entender el concepto de ciencia vinculado a la sociedad, no como algo estático, sino como una constante evolución que a su vez es inherente al ser humano. En ella, la participación de los profesionales de la ciencia es tan importante como la propia interacción que ellos mismos deben llevar a cabo con la sociedad. En consecuencia, los resultados obtenidos, trascenderán de manera directa en el progreso de los diferentes ámbitos propios de la colectividad. Es esencial que el alumnado trabaje mediante un proceso de reconocimiento y valoración de los aspectos históricos más relevantes llevados a cabo por hombres y mujeres, así como el progreso de los mismos, teniendo también en cuenta los contextos contemporáneos. Algunos aspectos a considerar son: los límites de la ciencia, las cuestiones éticas y la confianza en los científicos y en su actividad. Considerar la ciencia además de como una evolución, como una constante construcción que lleva a cabo una influencia recíproca entre la ciencia coetánea, la tecnología, la comunidad y el medio ambiente. Además, el alumnado debe descubrir y analizar las necesidades existentes en nuestra actualidad, para conocer todas las posibilidades de acción que tiene la ciencia para solventar las mismas de manera sostenible y llevada a cabo mediante la implicación de la comunidad. Concretamente, en 4º de la ESO, es necesario que este análisis sea realizado y estudiado de manera global.</w:t>
            </w:r>
          </w:p>
        </w:tc>
      </w:tr>
      <w:tr>
        <w:trPr/>
        <w:tc>
          <w:tcPr>
            <w:tcW w:w="4957"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(2º y 3º ESO)</w:t>
            </w:r>
          </w:p>
        </w:tc>
        <w:tc>
          <w:tcPr>
            <w:tcW w:w="4965" w:type="dxa"/>
            <w:tcBorders/>
            <w:shd w:color="auto" w:fill="D9D9D9" w:themeFill="background1" w:themeFillShade="d9" w:val="clear"/>
          </w:tcPr>
          <w:p>
            <w:pPr>
              <w:pStyle w:val="Normal"/>
              <w:spacing w:lineRule="auto" w:line="240" w:before="0" w:after="0"/>
              <w:jc w:val="center"/>
              <w:rPr>
                <w:i/>
                <w:i/>
                <w:sz w:val="18"/>
                <w:szCs w:val="18"/>
              </w:rPr>
            </w:pPr>
            <w:r>
              <w:rPr>
                <w:rFonts w:eastAsia="Calibri" w:cs="" w:cstheme="minorBidi" w:eastAsiaTheme="minorHAnsi"/>
                <w:i/>
                <w:color w:val="auto"/>
                <w:sz w:val="22"/>
                <w:szCs w:val="22"/>
                <w:lang w:eastAsia="en-US"/>
              </w:rPr>
              <w:t>Física y Química (4º ESO)</w:t>
            </w:r>
          </w:p>
        </w:tc>
      </w:tr>
      <w:tr>
        <w:trPr/>
        <w:tc>
          <w:tcPr>
            <w:tcW w:w="4957" w:type="dxa"/>
            <w:tcBorders/>
            <w:shd w:color="auto" w:fill="auto" w:val="clear"/>
          </w:tcPr>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6.1. Reconocer y valorar, a través del análisis histórico de los avances científicos logrados por hombres y mujeres de ciencia, que la ciencia es un proceso en permanente construcción y las repercusiones mutuas de la ciencia actual con la tecnología, la sociedad y el medio ambiente.</w:t>
            </w:r>
          </w:p>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6.2. Detectar en el entorno las necesidades tecnológicas, ambientales, económicas y sociales más importantes que demanda la sociedad, entendiendo la capacidad de la ciencia para darles solución sostenible a través de la implicación de toda la ciudadanía.</w:t>
            </w:r>
          </w:p>
        </w:tc>
        <w:tc>
          <w:tcPr>
            <w:tcW w:w="4965" w:type="dxa"/>
            <w:tcBorders/>
            <w:shd w:color="auto" w:fill="auto" w:val="clear"/>
          </w:tcPr>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6.1. Reconocer y valorar, a través del análisis histórico de los avances científicos logrados por mujeres y hombres, así como de situaciones y contextos actuales (líneas de investigación, instituciones científicas, etc.), que la ciencia es un proceso en permanente construcción y las repercusiones e implicaciones sociales, económicas y medioambientales de la ciencia actual en la sociedad.</w:t>
            </w:r>
          </w:p>
          <w:p>
            <w:pPr>
              <w:pStyle w:val="DC1"/>
              <w:spacing w:lineRule="auto" w:line="240" w:before="0" w:after="0"/>
              <w:contextualSpacing/>
              <w:rPr>
                <w:rFonts w:ascii="Arial" w:hAnsi="Arial" w:eastAsia="Calibri" w:cs="" w:cstheme="minorBidi" w:eastAsiaTheme="minorHAnsi"/>
                <w:color w:val="auto"/>
                <w:sz w:val="20"/>
                <w:szCs w:val="20"/>
                <w:lang w:eastAsia="en-US"/>
              </w:rPr>
            </w:pPr>
            <w:r>
              <w:rPr>
                <w:rFonts w:eastAsia="Calibri" w:cs="" w:cstheme="minorBidi" w:eastAsiaTheme="minorHAnsi"/>
                <w:color w:val="auto"/>
                <w:sz w:val="22"/>
                <w:szCs w:val="22"/>
                <w:lang w:eastAsia="en-US"/>
              </w:rPr>
              <w:t>6.2. Detectar las necesidades tecnológicas, ambientales, económicas y sociales más importantes que demanda la sociedad, entendiendo la capacidad de la ciencia para darles solución sostenible a través de la implicación de toda la ciudadanía.</w:t>
            </w:r>
          </w:p>
        </w:tc>
      </w:tr>
    </w:tbl>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rFonts w:ascii="Cambria" w:hAnsi="Cambria" w:eastAsia="Cambria" w:cs="Cambria"/>
          <w:b/>
          <w:b/>
          <w:u w:val="single"/>
        </w:rPr>
      </w:pPr>
      <w:r>
        <w:rPr>
          <w:rFonts w:eastAsia="Cambria" w:cs="Cambria"/>
          <w:b/>
          <w:sz w:val="22"/>
          <w:szCs w:val="22"/>
          <w:u w:val="single"/>
        </w:rPr>
        <w:t>2. CONCRECIÓN, AGRUPAMIENTO Y SECUENCIACIÓN DE LOS SABERES BÁSICOS Y DE LOS CRITERIOS DE EVALUACIÓN EN UNIDADES DIDÁCTICAS</w:t>
      </w:r>
    </w:p>
    <w:p>
      <w:pPr>
        <w:pStyle w:val="Normal"/>
        <w:ind w:firstLine="284"/>
        <w:jc w:val="both"/>
        <w:rPr>
          <w:rFonts w:ascii="Calibri" w:hAnsi="Calibri" w:eastAsia="Cambria" w:cs="Cambria"/>
          <w:sz w:val="22"/>
          <w:szCs w:val="22"/>
        </w:rPr>
      </w:pPr>
      <w:r>
        <w:rPr>
          <w:rFonts w:eastAsia="Cambria" w:cs="Cambria"/>
          <w:sz w:val="22"/>
          <w:szCs w:val="22"/>
        </w:rPr>
      </w:r>
    </w:p>
    <w:p>
      <w:pPr>
        <w:pStyle w:val="Normal"/>
        <w:jc w:val="both"/>
        <w:rPr/>
      </w:pPr>
      <w:r>
        <w:rPr>
          <w:rFonts w:eastAsia="Cambria" w:cs="Cambria"/>
          <w:sz w:val="22"/>
          <w:szCs w:val="22"/>
        </w:rPr>
        <w:t xml:space="preserve">La concreción de los saberes básicos y de los criterios de evaluación en las diferentes unidades didácticas se muestra en las siguientes tablas: </w:t>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rFonts w:ascii="Calibri" w:hAnsi="Calibri" w:eastAsia="Cambria" w:cs="Cambria"/>
          <w:b/>
          <w:b/>
          <w:sz w:val="22"/>
          <w:szCs w:val="22"/>
          <w:u w:val="single"/>
        </w:rPr>
      </w:pPr>
      <w:r>
        <w:rPr>
          <w:rFonts w:eastAsia="Cambria" w:cs="Cambria"/>
          <w:b/>
          <w:sz w:val="22"/>
          <w:szCs w:val="22"/>
          <w:u w:val="single"/>
        </w:rPr>
      </w:r>
    </w:p>
    <w:tbl>
      <w:tblPr>
        <w:tblW w:w="9185" w:type="dxa"/>
        <w:jc w:val="left"/>
        <w:tblInd w:w="137" w:type="dxa"/>
        <w:tblCellMar>
          <w:top w:w="144" w:type="dxa"/>
          <w:left w:w="144" w:type="dxa"/>
          <w:bottom w:w="144" w:type="dxa"/>
          <w:right w:w="144" w:type="dxa"/>
        </w:tblCellMar>
        <w:tblLook w:firstRow="0" w:noVBand="1" w:lastRow="0" w:firstColumn="0" w:lastColumn="0" w:noHBand="1" w:val="0600"/>
      </w:tblPr>
      <w:tblGrid>
        <w:gridCol w:w="2355"/>
        <w:gridCol w:w="2457"/>
        <w:gridCol w:w="2267"/>
        <w:gridCol w:w="9"/>
        <w:gridCol w:w="2096"/>
      </w:tblGrid>
      <w:tr>
        <w:trPr>
          <w:trHeight w:val="262" w:hRule="atLeast"/>
        </w:trPr>
        <w:tc>
          <w:tcPr>
            <w:tcW w:w="7088"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UD 1: LA CIENCIA Y LA MEDIDA</w:t>
            </w:r>
          </w:p>
        </w:tc>
        <w:tc>
          <w:tcPr>
            <w:tcW w:w="2096"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255" w:hRule="atLeast"/>
        </w:trPr>
        <w:tc>
          <w:tcPr>
            <w:tcW w:w="7088"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EVALUACIÓN: 1ª</w:t>
            </w:r>
          </w:p>
        </w:tc>
        <w:tc>
          <w:tcPr>
            <w:tcW w:w="2096"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944" w:hRule="atLeast"/>
        </w:trPr>
        <w:tc>
          <w:tcPr>
            <w:tcW w:w="2355"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Competencias específicas</w:t>
            </w:r>
          </w:p>
        </w:tc>
        <w:tc>
          <w:tcPr>
            <w:tcW w:w="2457"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Criterios de evaluación</w:t>
            </w:r>
          </w:p>
        </w:tc>
        <w:tc>
          <w:tcPr>
            <w:tcW w:w="2267"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Concreción de los criterios de evaluación</w:t>
            </w:r>
          </w:p>
        </w:tc>
        <w:tc>
          <w:tcPr>
            <w:tcW w:w="2105" w:type="dxa"/>
            <w:gridSpan w:val="2"/>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Descriptores del perfil de salida</w:t>
            </w:r>
          </w:p>
        </w:tc>
      </w:tr>
      <w:tr>
        <w:trPr>
          <w:trHeight w:val="2465" w:hRule="atLeast"/>
        </w:trPr>
        <w:tc>
          <w:tcPr>
            <w:tcW w:w="2355"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18"/>
                <w:szCs w:val="18"/>
              </w:rPr>
            </w:pPr>
            <w:r>
              <w:rPr>
                <w:rFonts w:eastAsia="Arial Narrow" w:cs="Calibri" w:cstheme="minorHAnsi"/>
                <w:b/>
                <w:color w:val="000000"/>
                <w:sz w:val="22"/>
                <w:szCs w:val="22"/>
              </w:rPr>
              <w:t>CE FQ 1.</w:t>
            </w:r>
            <w:r>
              <w:rPr>
                <w:rFonts w:eastAsia="Arial Narrow" w:cs="Calibri" w:cstheme="minorHAnsi"/>
                <w:color w:val="000000"/>
                <w:sz w:val="22"/>
                <w:szCs w:val="22"/>
              </w:rPr>
              <w:t xml:space="preserve"> </w:t>
            </w:r>
            <w:r>
              <w:rPr>
                <w:rFonts w:cs="Calibri" w:cstheme="minorHAnsi"/>
                <w:sz w:val="22"/>
                <w:szCs w:val="22"/>
              </w:rPr>
              <w:t>Comprender y relacionar los motivos por los que ocurren los principales fenómenos fisicoquímicos del entorno y explicarlos en términos de las leyes y teorías científicas adecuadas para resolver problemas con el fin de aplicarlas para mejorar la realidad cercana y la calidad de vida humana.</w:t>
            </w:r>
          </w:p>
        </w:tc>
        <w:tc>
          <w:tcPr>
            <w:tcW w:w="2457"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Times New Roman" w:cs="Calibri" w:asciiTheme="minorHAnsi" w:cstheme="minorHAnsi" w:hAnsiTheme="minorHAnsi"/>
                <w:color w:val="auto"/>
                <w:sz w:val="18"/>
                <w:szCs w:val="18"/>
              </w:rPr>
            </w:pPr>
            <w:r>
              <w:rPr>
                <w:rFonts w:cs="Calibri" w:cstheme="minorHAnsi"/>
                <w:sz w:val="22"/>
                <w:szCs w:val="22"/>
              </w:rPr>
              <w:t>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p>
        </w:tc>
        <w:tc>
          <w:tcPr>
            <w:tcW w:w="2267"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Times New Roman" w:cs="Calibri" w:asciiTheme="minorHAnsi" w:cstheme="minorHAnsi" w:hAnsiTheme="minorHAnsi"/>
                <w:color w:val="auto"/>
                <w:sz w:val="18"/>
                <w:szCs w:val="18"/>
              </w:rPr>
            </w:pPr>
            <w:r>
              <w:rPr>
                <w:rFonts w:eastAsia="Arial Narrow" w:cs="Calibri" w:cstheme="minorHAnsi"/>
                <w:bCs/>
                <w:color w:val="000000"/>
                <w:sz w:val="22"/>
                <w:szCs w:val="22"/>
              </w:rPr>
              <w:t>1.3.1. Comprender que la Física y la Química pueden ser herramientas útiles para resolver problemas reales.</w:t>
            </w:r>
          </w:p>
        </w:tc>
        <w:tc>
          <w:tcPr>
            <w:tcW w:w="2105" w:type="dxa"/>
            <w:gridSpan w:val="2"/>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18"/>
                <w:szCs w:val="18"/>
                <w:lang w:val="en-GB"/>
              </w:rPr>
            </w:pPr>
            <w:r>
              <w:rPr>
                <w:rFonts w:cs="Calibri" w:cstheme="minorHAnsi"/>
                <w:sz w:val="22"/>
                <w:szCs w:val="22"/>
                <w:lang w:val="en-GB"/>
              </w:rPr>
              <w:t>CCL1, STEM1, STEM2, STEM4, CPSAA4.</w:t>
            </w:r>
          </w:p>
        </w:tc>
      </w:tr>
      <w:tr>
        <w:trPr>
          <w:trHeight w:val="2465" w:hRule="atLeast"/>
        </w:trPr>
        <w:tc>
          <w:tcPr>
            <w:tcW w:w="2355" w:type="dxa"/>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Arial Narrow" w:cs="Calibri" w:asciiTheme="minorHAnsi" w:cstheme="minorHAnsi" w:hAnsiTheme="minorHAnsi"/>
                <w:color w:val="000000"/>
                <w:sz w:val="18"/>
                <w:szCs w:val="18"/>
              </w:rPr>
            </w:pPr>
            <w:r>
              <w:rPr>
                <w:rFonts w:cs="Calibri" w:cstheme="minorHAnsi"/>
                <w:b/>
                <w:sz w:val="22"/>
                <w:szCs w:val="22"/>
              </w:rPr>
              <w:t>CE.FQ.2.</w:t>
            </w:r>
            <w:r>
              <w:rPr>
                <w:rFonts w:cs="Calibri" w:cstheme="minorHAnsi"/>
                <w:sz w:val="22"/>
                <w:szCs w:val="22"/>
              </w:rPr>
              <w:t xml:space="preserve"> Expresar las observaciones realizadas por el alumnado en forma de preguntas, formulando hipótesis para explicarlas y demostrando dichas hipótesis a través de la experimentación científica, la indagación y la búsqueda de evidencias, para desarrollar los razonamientos propios del pensamiento científico y mejorar las destrezas en el uso de las metodologías científicas.</w:t>
            </w:r>
          </w:p>
        </w:tc>
        <w:tc>
          <w:tcPr>
            <w:tcW w:w="2457"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rFonts w:ascii="Arial" w:hAnsi="Arial"/>
                <w:sz w:val="20"/>
                <w:szCs w:val="20"/>
              </w:rPr>
            </w:pPr>
            <w:r>
              <w:rPr>
                <w:sz w:val="22"/>
                <w:szCs w:val="22"/>
              </w:rPr>
              <w:t>2.1. Emplear las metodologías propias de la ciencia en la identificación y descripción de fenómenos a partir de cuestiones a las que se pueda dar respuesta a través de la indagación, la deducción, el trabajo experimental y el razonamiento lógico-matemático, diferenciándolas de aquellas pseudocientíficas que no admiten comprobación experimental.</w:t>
            </w:r>
          </w:p>
          <w:p>
            <w:pPr>
              <w:pStyle w:val="Normal"/>
              <w:spacing w:lineRule="auto" w:line="240" w:before="0" w:after="0"/>
              <w:rPr>
                <w:rFonts w:ascii="Calibri" w:hAnsi="Calibri" w:cs="Calibri" w:cstheme="minorHAnsi"/>
                <w:sz w:val="22"/>
                <w:szCs w:val="22"/>
              </w:rPr>
            </w:pPr>
            <w:r>
              <w:rPr>
                <w:rFonts w:cs="Calibri" w:cstheme="minorHAnsi"/>
                <w:sz w:val="22"/>
                <w:szCs w:val="22"/>
              </w:rPr>
            </w:r>
          </w:p>
        </w:tc>
        <w:tc>
          <w:tcPr>
            <w:tcW w:w="2267"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Arial Narrow" w:cs="Calibri" w:asciiTheme="minorHAnsi" w:cstheme="minorHAnsi" w:hAnsiTheme="minorHAnsi"/>
                <w:bCs/>
                <w:color w:val="000000"/>
                <w:sz w:val="18"/>
                <w:szCs w:val="18"/>
              </w:rPr>
            </w:pPr>
            <w:r>
              <w:rPr>
                <w:rFonts w:eastAsia="Arial Narrow" w:cs="Calibri" w:cstheme="minorHAnsi"/>
                <w:bCs/>
                <w:color w:val="000000"/>
                <w:sz w:val="22"/>
                <w:szCs w:val="22"/>
              </w:rPr>
              <w:t>2.1.1. Diferenciar entre ciencias y pseudociencias gracias a la comprobación experimental de las hipótesis.</w:t>
            </w:r>
          </w:p>
        </w:tc>
        <w:tc>
          <w:tcPr>
            <w:tcW w:w="2105" w:type="dxa"/>
            <w:gridSpan w:val="2"/>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asciiTheme="minorHAnsi" w:cstheme="minorHAnsi" w:hAnsiTheme="minorHAnsi"/>
                <w:sz w:val="18"/>
                <w:szCs w:val="18"/>
                <w:lang w:val="en-GB"/>
              </w:rPr>
            </w:pPr>
            <w:r>
              <w:rPr>
                <w:rFonts w:cs="Calibri" w:cstheme="minorHAnsi"/>
                <w:sz w:val="22"/>
                <w:szCs w:val="22"/>
                <w:lang w:val="en-GB"/>
              </w:rPr>
              <w:t>CCL1, CCL3, STEM1, STEM2, CD1, CPSAA4, CE1, CCEC3.</w:t>
            </w:r>
          </w:p>
        </w:tc>
      </w:tr>
      <w:tr>
        <w:trPr>
          <w:trHeight w:val="262" w:hRule="atLeast"/>
        </w:trPr>
        <w:tc>
          <w:tcPr>
            <w:tcW w:w="2355" w:type="dxa"/>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Arial Narrow" w:cs="Calibri" w:cstheme="minorHAnsi"/>
                <w:color w:val="000000"/>
                <w:sz w:val="22"/>
                <w:szCs w:val="22"/>
                <w:lang w:val="en-GB"/>
              </w:rPr>
            </w:pPr>
            <w:r>
              <w:rPr>
                <w:rFonts w:eastAsia="Arial Narrow" w:cs="Calibri" w:cstheme="minorHAnsi"/>
                <w:color w:val="000000"/>
                <w:sz w:val="22"/>
                <w:szCs w:val="22"/>
                <w:lang w:val="en-GB"/>
              </w:rPr>
            </w:r>
          </w:p>
        </w:tc>
        <w:tc>
          <w:tcPr>
            <w:tcW w:w="2457"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rFonts w:ascii="Arial" w:hAnsi="Arial"/>
                <w:sz w:val="20"/>
                <w:szCs w:val="20"/>
              </w:rPr>
            </w:pPr>
            <w:r>
              <w:rPr>
                <w:sz w:val="22"/>
                <w:szCs w:val="22"/>
              </w:rPr>
              <w:t>2.2. Seleccionar, de acuerdo con la naturaleza de las cuestiones que se traten, la mejor manera de comprobar o refutar las hipótesis formuladas, diseñando estrategias de indagación y búsqueda de evidencias que permitan obtener conclusiones y respuestas ajustadas a la naturaleza de la pregunta formulada.</w:t>
            </w:r>
          </w:p>
          <w:p>
            <w:pPr>
              <w:pStyle w:val="Normal"/>
              <w:spacing w:lineRule="auto" w:line="240" w:before="0" w:after="0"/>
              <w:rPr>
                <w:rFonts w:ascii="Calibri" w:hAnsi="Calibri" w:cs="Calibri" w:cstheme="minorHAnsi"/>
                <w:sz w:val="22"/>
                <w:szCs w:val="22"/>
              </w:rPr>
            </w:pPr>
            <w:r>
              <w:rPr>
                <w:rFonts w:cs="Calibri" w:cstheme="minorHAnsi"/>
                <w:sz w:val="22"/>
                <w:szCs w:val="22"/>
              </w:rPr>
            </w:r>
          </w:p>
        </w:tc>
        <w:tc>
          <w:tcPr>
            <w:tcW w:w="2267"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Arial Narrow" w:cs="Calibri" w:asciiTheme="minorHAnsi" w:cstheme="minorHAnsi" w:hAnsiTheme="minorHAnsi"/>
                <w:bCs/>
                <w:color w:val="000000"/>
                <w:sz w:val="18"/>
                <w:szCs w:val="18"/>
              </w:rPr>
            </w:pPr>
            <w:r>
              <w:rPr>
                <w:rFonts w:eastAsia="Arial Narrow" w:cs="Calibri" w:cstheme="minorHAnsi"/>
                <w:bCs/>
                <w:color w:val="000000"/>
                <w:sz w:val="22"/>
                <w:szCs w:val="22"/>
              </w:rPr>
              <w:t>2.2.1. Conocer las etapas del método científico y aplicarlo como herramienta para resolver problemas reales.</w:t>
            </w:r>
          </w:p>
        </w:tc>
        <w:tc>
          <w:tcPr>
            <w:tcW w:w="2105" w:type="dxa"/>
            <w:gridSpan w:val="2"/>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cstheme="minorHAnsi"/>
                <w:sz w:val="22"/>
                <w:szCs w:val="22"/>
              </w:rPr>
            </w:pPr>
            <w:r>
              <w:rPr>
                <w:rFonts w:cs="Calibri" w:cstheme="minorHAnsi"/>
                <w:sz w:val="22"/>
                <w:szCs w:val="22"/>
              </w:rPr>
            </w:r>
          </w:p>
        </w:tc>
      </w:tr>
      <w:tr>
        <w:trPr>
          <w:trHeight w:val="404" w:hRule="atLeast"/>
        </w:trPr>
        <w:tc>
          <w:tcPr>
            <w:tcW w:w="2355"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asciiTheme="minorHAnsi" w:cstheme="minorHAnsi" w:hAnsiTheme="minorHAnsi"/>
                <w:b/>
                <w:b/>
                <w:sz w:val="18"/>
                <w:szCs w:val="18"/>
              </w:rPr>
            </w:pPr>
            <w:r>
              <w:rPr>
                <w:b/>
                <w:sz w:val="22"/>
                <w:szCs w:val="22"/>
              </w:rPr>
              <w:t>CE.FQ.3.</w:t>
            </w:r>
            <w:r>
              <w:rPr>
                <w:sz w:val="22"/>
                <w:szCs w:val="22"/>
              </w:rPr>
              <w:t xml:space="preserve"> Manejar con soltura las reglas y normas básicas de la física y la química en lo referente al lenguaje de la IUPAC, al lenguaje matemático, al empleo de unidades de medida correctas, al uso seguro del laboratorio y a la interpretación y producción de datos e información en diferentes formatos y fuentes, para reconocer el carácter universal y transversal del lenguaje científico y la necesidad de una comunicación fiable en investigación y ciencia entre diferentes países y culturas.</w:t>
            </w:r>
          </w:p>
        </w:tc>
        <w:tc>
          <w:tcPr>
            <w:tcW w:w="2457"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rFonts w:cs="Calibri" w:cstheme="minorHAnsi"/>
              </w:rPr>
            </w:pPr>
            <w:r>
              <w:rPr>
                <w:sz w:val="22"/>
                <w:szCs w:val="22"/>
              </w:rPr>
              <w:t>3.3. Poner en práctica las normas de uso de los espacios específicos de la ciencia, como el laboratorio de Física y Química, asegurando la salud propia y colectiva, la conservación sostenible del medio ambiente y el cuidado de las instalaciones.</w:t>
            </w:r>
          </w:p>
        </w:tc>
        <w:tc>
          <w:tcPr>
            <w:tcW w:w="2267"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Arial Narrow" w:cs="Calibri" w:asciiTheme="minorHAnsi" w:cstheme="minorHAnsi" w:hAnsiTheme="minorHAnsi"/>
                <w:bCs/>
                <w:color w:val="000000"/>
                <w:sz w:val="18"/>
                <w:szCs w:val="18"/>
              </w:rPr>
            </w:pPr>
            <w:r>
              <w:rPr>
                <w:rFonts w:eastAsia="Arial Narrow" w:cs="Calibri" w:cstheme="minorHAnsi"/>
                <w:bCs/>
                <w:color w:val="000000"/>
                <w:sz w:val="22"/>
                <w:szCs w:val="22"/>
              </w:rPr>
              <w:t xml:space="preserve">3.3.1. Conocer las normas de seguridad del laboratorio de Física y química. </w:t>
            </w:r>
          </w:p>
        </w:tc>
        <w:tc>
          <w:tcPr>
            <w:tcW w:w="2105" w:type="dxa"/>
            <w:gridSpan w:val="2"/>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asciiTheme="minorHAnsi" w:cstheme="minorHAnsi" w:hAnsiTheme="minorHAnsi"/>
                <w:sz w:val="18"/>
                <w:szCs w:val="18"/>
                <w:lang w:val="en-GB"/>
              </w:rPr>
            </w:pPr>
            <w:r>
              <w:rPr>
                <w:sz w:val="22"/>
                <w:szCs w:val="22"/>
                <w:lang w:val="en-GB"/>
              </w:rPr>
              <w:t>STEM4, STEM5, CD3, CPSAA2, CC1, CCEC2, CCEC4.</w:t>
            </w:r>
          </w:p>
        </w:tc>
      </w:tr>
      <w:tr>
        <w:trPr>
          <w:trHeight w:val="334" w:hRule="atLeast"/>
        </w:trPr>
        <w:tc>
          <w:tcPr>
            <w:tcW w:w="7088" w:type="dxa"/>
            <w:gridSpan w:val="4"/>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Saberes básicos</w:t>
            </w:r>
          </w:p>
        </w:tc>
        <w:tc>
          <w:tcPr>
            <w:tcW w:w="2096"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652" w:hRule="atLeast"/>
        </w:trPr>
        <w:tc>
          <w:tcPr>
            <w:tcW w:w="9184" w:type="dxa"/>
            <w:gridSpan w:val="5"/>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both"/>
              <w:rPr>
                <w:rFonts w:ascii="Arial" w:hAnsi="Arial" w:eastAsia="Times New Roman" w:cs="Arial"/>
                <w:color w:val="auto"/>
                <w:sz w:val="20"/>
                <w:szCs w:val="20"/>
              </w:rPr>
            </w:pPr>
            <w:r>
              <w:rPr>
                <w:b/>
                <w:sz w:val="22"/>
                <w:szCs w:val="22"/>
              </w:rPr>
              <w:t>A. Las destrezas científicas básicas.</w:t>
            </w:r>
            <w:r>
              <w:rPr>
                <w:sz w:val="22"/>
                <w:szCs w:val="22"/>
              </w:rPr>
              <w:t xml:space="preserve"> Los procedimientos como la observación, la formulación de hipótesis, la indagación, la experimentación, el uso de herramientas matemáticas sencillas o la extracción de conclusiones basadas en pruebas. Dichos procedimientos pueden abordarse de forma transversal al resto de saberes o a partir de una investigación científica estructurada en el que el alumnado tiene cierta libertad en la toma de decisiones.</w:t>
            </w:r>
          </w:p>
        </w:tc>
      </w:tr>
    </w:tbl>
    <w:p>
      <w:pPr>
        <w:pStyle w:val="Normal"/>
        <w:jc w:val="both"/>
        <w:rPr>
          <w:rFonts w:ascii="Calibri" w:hAnsi="Calibri" w:eastAsia="Cambria" w:cs="Cambria"/>
          <w:b/>
          <w:b/>
          <w:sz w:val="22"/>
          <w:szCs w:val="22"/>
          <w:u w:val="single"/>
        </w:rPr>
      </w:pPr>
      <w:r>
        <w:rPr>
          <w:rFonts w:eastAsia="Cambria" w:cs="Cambria"/>
          <w:b/>
          <w:sz w:val="22"/>
          <w:szCs w:val="22"/>
          <w:u w:val="single"/>
        </w:rPr>
      </w:r>
    </w:p>
    <w:tbl>
      <w:tblPr>
        <w:tblW w:w="9185" w:type="dxa"/>
        <w:jc w:val="left"/>
        <w:tblInd w:w="137" w:type="dxa"/>
        <w:tblCellMar>
          <w:top w:w="144" w:type="dxa"/>
          <w:left w:w="144" w:type="dxa"/>
          <w:bottom w:w="144" w:type="dxa"/>
          <w:right w:w="144" w:type="dxa"/>
        </w:tblCellMar>
        <w:tblLook w:firstRow="0" w:noVBand="1" w:lastRow="0" w:firstColumn="0" w:lastColumn="0" w:noHBand="1" w:val="0600"/>
      </w:tblPr>
      <w:tblGrid>
        <w:gridCol w:w="2400"/>
        <w:gridCol w:w="2209"/>
        <w:gridCol w:w="2254"/>
        <w:gridCol w:w="2"/>
        <w:gridCol w:w="2319"/>
      </w:tblGrid>
      <w:tr>
        <w:trPr>
          <w:trHeight w:val="408" w:hRule="atLeast"/>
        </w:trPr>
        <w:tc>
          <w:tcPr>
            <w:tcW w:w="6865"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UD 2: LOS GASES</w:t>
            </w:r>
          </w:p>
        </w:tc>
        <w:tc>
          <w:tcPr>
            <w:tcW w:w="2319"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407" w:hRule="atLeast"/>
        </w:trPr>
        <w:tc>
          <w:tcPr>
            <w:tcW w:w="6865"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EVALUACIÓN: 1ª</w:t>
            </w:r>
          </w:p>
        </w:tc>
        <w:tc>
          <w:tcPr>
            <w:tcW w:w="2319"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828" w:hRule="atLeast"/>
        </w:trPr>
        <w:tc>
          <w:tcPr>
            <w:tcW w:w="2400"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Competencias específicas</w:t>
            </w:r>
          </w:p>
        </w:tc>
        <w:tc>
          <w:tcPr>
            <w:tcW w:w="2209"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Criterios de evaluación</w:t>
            </w:r>
          </w:p>
        </w:tc>
        <w:tc>
          <w:tcPr>
            <w:tcW w:w="2254"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Concreción de los criterios de evaluación</w:t>
            </w:r>
          </w:p>
        </w:tc>
        <w:tc>
          <w:tcPr>
            <w:tcW w:w="2321" w:type="dxa"/>
            <w:gridSpan w:val="2"/>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Descriptores del perfil de salida</w:t>
            </w:r>
          </w:p>
        </w:tc>
      </w:tr>
      <w:tr>
        <w:trPr>
          <w:trHeight w:val="2465" w:hRule="atLeast"/>
        </w:trPr>
        <w:tc>
          <w:tcPr>
            <w:tcW w:w="2400" w:type="dxa"/>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18"/>
                <w:szCs w:val="18"/>
              </w:rPr>
            </w:pPr>
            <w:r>
              <w:rPr>
                <w:rFonts w:eastAsia="Arial Narrow" w:cs="Calibri" w:cstheme="minorHAnsi"/>
                <w:b/>
                <w:color w:val="000000"/>
                <w:sz w:val="22"/>
                <w:szCs w:val="22"/>
              </w:rPr>
              <w:t>CE.FQ.1.</w:t>
            </w:r>
            <w:r>
              <w:rPr>
                <w:rFonts w:eastAsia="Arial Narrow" w:cs="Calibri" w:cstheme="minorHAnsi"/>
                <w:color w:val="000000"/>
                <w:sz w:val="22"/>
                <w:szCs w:val="22"/>
              </w:rPr>
              <w:t xml:space="preserve"> </w:t>
            </w:r>
            <w:r>
              <w:rPr>
                <w:rFonts w:cs="Calibri" w:cstheme="minorHAnsi"/>
                <w:sz w:val="22"/>
                <w:szCs w:val="22"/>
              </w:rPr>
              <w:t>Comprender y relacionar los motivos por los que ocurren los principales fenómenos fisicoquímicos del entorno y explicarlos en términos de las leyes y teorías científicas adecuadas para resolver problemas con el fin de aplicarlas para mejorar la realidad cercana y la calidad de vida humana.</w:t>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rFonts w:ascii="Arial" w:hAnsi="Arial"/>
                <w:sz w:val="20"/>
                <w:szCs w:val="20"/>
              </w:rPr>
            </w:pPr>
            <w:r>
              <w:rPr>
                <w:sz w:val="22"/>
                <w:szCs w:val="22"/>
              </w:rPr>
              <w:t xml:space="preserve">1.1. Identificar, comprender y explicar los fenómenos fisicoquímicos cotidianos más relevantes a partir de los principios, teorías y leyes científicas </w:t>
            </w:r>
          </w:p>
          <w:p>
            <w:pPr>
              <w:pStyle w:val="DC1"/>
              <w:jc w:val="left"/>
              <w:rPr>
                <w:rFonts w:ascii="Arial" w:hAnsi="Arial"/>
                <w:sz w:val="20"/>
                <w:szCs w:val="20"/>
              </w:rPr>
            </w:pPr>
            <w:r>
              <w:rPr>
                <w:sz w:val="22"/>
                <w:szCs w:val="22"/>
              </w:rPr>
              <w:t>adecuadas, expresándolos, de manera argumentada, utilizando diversidad de soportes y medios de comunicación.</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Times New Roman" w:cs="Calibri" w:asciiTheme="minorHAnsi" w:cstheme="minorHAnsi" w:hAnsiTheme="minorHAnsi"/>
                <w:color w:val="auto"/>
                <w:sz w:val="18"/>
                <w:szCs w:val="18"/>
              </w:rPr>
            </w:pPr>
            <w:r>
              <w:rPr>
                <w:rFonts w:eastAsia="Times New Roman" w:cs="Calibri" w:cstheme="minorHAnsi"/>
                <w:color w:val="auto"/>
                <w:sz w:val="22"/>
                <w:szCs w:val="22"/>
              </w:rPr>
              <w:t xml:space="preserve">1.1.1. Expresar fenómenos físicoquímicos a partir de teorías y leyes científicas utilizando diferentes soportes. </w:t>
            </w:r>
          </w:p>
        </w:tc>
        <w:tc>
          <w:tcPr>
            <w:tcW w:w="2321" w:type="dxa"/>
            <w:gridSpan w:val="2"/>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18"/>
                <w:szCs w:val="18"/>
                <w:lang w:val="en-GB"/>
              </w:rPr>
            </w:pPr>
            <w:r>
              <w:rPr>
                <w:rFonts w:cs="Calibri" w:cstheme="minorHAnsi"/>
                <w:sz w:val="22"/>
                <w:szCs w:val="22"/>
                <w:lang w:val="en-GB"/>
              </w:rPr>
              <w:t>CCL1, STEM1, STEM2, STEM4, CPSAA4.</w:t>
            </w:r>
          </w:p>
        </w:tc>
      </w:tr>
      <w:tr>
        <w:trPr>
          <w:trHeight w:val="2388" w:hRule="atLeast"/>
        </w:trPr>
        <w:tc>
          <w:tcPr>
            <w:tcW w:w="2400" w:type="dxa"/>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cstheme="minorHAnsi"/>
                <w:color w:val="auto"/>
                <w:sz w:val="22"/>
                <w:szCs w:val="22"/>
                <w:lang w:val="en-GB"/>
              </w:rPr>
            </w:pPr>
            <w:r>
              <w:rPr>
                <w:rFonts w:eastAsia="Times New Roman" w:cs="Calibri" w:cstheme="minorHAnsi"/>
                <w:color w:val="auto"/>
                <w:sz w:val="22"/>
                <w:szCs w:val="22"/>
                <w:lang w:val="en-GB"/>
              </w:rPr>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rFonts w:ascii="Arial" w:hAnsi="Arial"/>
                <w:sz w:val="20"/>
                <w:szCs w:val="20"/>
              </w:rPr>
            </w:pPr>
            <w:r>
              <w:rPr>
                <w:sz w:val="22"/>
                <w:szCs w:val="22"/>
              </w:rPr>
              <w:t>1.2. Resolver los problemas fisicoquímicos planteados utilizando las leyes y teorías científicas adecuadas, razonando los procedimientos utilizados para encontrar las soluciones y expresando adecuadamente los resultados.</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Times New Roman" w:cs="Calibri" w:asciiTheme="minorHAnsi" w:cstheme="minorHAnsi" w:hAnsiTheme="minorHAnsi"/>
                <w:color w:val="auto"/>
                <w:sz w:val="18"/>
                <w:szCs w:val="18"/>
              </w:rPr>
            </w:pPr>
            <w:r>
              <w:rPr>
                <w:rFonts w:eastAsia="Times New Roman" w:cs="Calibri" w:cstheme="minorHAnsi"/>
                <w:color w:val="auto"/>
                <w:sz w:val="22"/>
                <w:szCs w:val="22"/>
              </w:rPr>
              <w:t xml:space="preserve">1. 2. 1. Resolver problemas fisicoquímicos aplicando leyes y teorías científicas expresando adecuadamente los resultados. </w:t>
            </w:r>
          </w:p>
        </w:tc>
        <w:tc>
          <w:tcPr>
            <w:tcW w:w="2321" w:type="dxa"/>
            <w:gridSpan w:val="2"/>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18"/>
                <w:szCs w:val="18"/>
                <w:lang w:val="en-GB"/>
              </w:rPr>
            </w:pPr>
            <w:r>
              <w:rPr>
                <w:rFonts w:cs="Calibri" w:cstheme="minorHAnsi"/>
                <w:sz w:val="22"/>
                <w:szCs w:val="22"/>
                <w:lang w:val="en-GB"/>
              </w:rPr>
              <w:t>CCL1, STEM1, STEM2, STEM4, CPSAA4.</w:t>
            </w:r>
          </w:p>
        </w:tc>
      </w:tr>
      <w:tr>
        <w:trPr>
          <w:trHeight w:val="2465" w:hRule="atLeast"/>
        </w:trPr>
        <w:tc>
          <w:tcPr>
            <w:tcW w:w="2400" w:type="dxa"/>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asciiTheme="minorHAnsi" w:cstheme="minorHAnsi" w:hAnsiTheme="minorHAnsi"/>
                <w:b/>
                <w:b/>
                <w:sz w:val="18"/>
                <w:szCs w:val="18"/>
              </w:rPr>
            </w:pPr>
            <w:r>
              <w:rPr>
                <w:b/>
                <w:sz w:val="22"/>
                <w:szCs w:val="22"/>
              </w:rPr>
              <w:t>CE.FQ.3.</w:t>
            </w:r>
            <w:r>
              <w:rPr>
                <w:sz w:val="22"/>
                <w:szCs w:val="22"/>
              </w:rPr>
              <w:t xml:space="preserve"> Manejar con soltura las reglas y normas básicas de la física y la química en lo referente al lenguaje de la IUPAC, al lenguaje matemático, al empleo de unidades de medida correctas, al uso seguro del laboratorio y a la interpretación y producción de datos e información en diferentes formatos y fuentes, para reconocer el carácter universal y transversal del lenguaje científico y la necesidad de una comunicación fiable en investigación y ciencia entre diferentes países y culturas.</w:t>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rFonts w:ascii="Arial" w:hAnsi="Arial"/>
                <w:sz w:val="20"/>
                <w:szCs w:val="20"/>
              </w:rPr>
            </w:pPr>
            <w:r>
              <w:rPr>
                <w:sz w:val="22"/>
                <w:szCs w:val="22"/>
              </w:rPr>
              <w:t>3.2. Utilizar adecuadamente las reglas básicas de la física y la química, incluyendo el uso de unidades de medida, las herramientas matemáticas y las reglas de nomenclatura, consiguiendo una comunicación efectiva con toda la comunidad científica.</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Arial Narrow" w:cs="Calibri" w:asciiTheme="minorHAnsi" w:cstheme="minorHAnsi" w:hAnsiTheme="minorHAnsi"/>
                <w:bCs/>
                <w:color w:val="000000"/>
                <w:sz w:val="18"/>
                <w:szCs w:val="18"/>
              </w:rPr>
            </w:pPr>
            <w:r>
              <w:rPr>
                <w:rFonts w:eastAsia="Arial Narrow" w:cs="Calibri" w:cstheme="minorHAnsi"/>
                <w:bCs/>
                <w:color w:val="000000"/>
                <w:sz w:val="22"/>
                <w:szCs w:val="22"/>
              </w:rPr>
              <w:t xml:space="preserve">3.2.1. Usar correctamente las unidades de medida y las herramientas matemáticas en la resolución de problemas.  </w:t>
            </w:r>
          </w:p>
        </w:tc>
        <w:tc>
          <w:tcPr>
            <w:tcW w:w="2321" w:type="dxa"/>
            <w:gridSpan w:val="2"/>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asciiTheme="minorHAnsi" w:cstheme="minorHAnsi" w:hAnsiTheme="minorHAnsi"/>
                <w:sz w:val="18"/>
                <w:szCs w:val="18"/>
                <w:lang w:val="en-GB"/>
              </w:rPr>
            </w:pPr>
            <w:r>
              <w:rPr>
                <w:sz w:val="22"/>
                <w:szCs w:val="22"/>
                <w:lang w:val="en-GB"/>
              </w:rPr>
              <w:t>STEM4, STEM5, CD3, CPSAA2, CC1, CCEC2, CCEC4.</w:t>
            </w:r>
          </w:p>
        </w:tc>
      </w:tr>
      <w:tr>
        <w:trPr>
          <w:trHeight w:val="418" w:hRule="atLeast"/>
        </w:trPr>
        <w:tc>
          <w:tcPr>
            <w:tcW w:w="6865" w:type="dxa"/>
            <w:gridSpan w:val="4"/>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Saberes básicos</w:t>
            </w:r>
          </w:p>
        </w:tc>
        <w:tc>
          <w:tcPr>
            <w:tcW w:w="2319"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652" w:hRule="atLeast"/>
        </w:trPr>
        <w:tc>
          <w:tcPr>
            <w:tcW w:w="9184" w:type="dxa"/>
            <w:gridSpan w:val="5"/>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0"/>
                <w:szCs w:val="20"/>
              </w:rPr>
            </w:pPr>
            <w:r>
              <w:rPr>
                <w:rFonts w:eastAsia="Times New Roman" w:cs="Calibri" w:cstheme="minorHAnsi"/>
                <w:b/>
                <w:color w:val="auto"/>
                <w:sz w:val="22"/>
                <w:szCs w:val="22"/>
              </w:rPr>
              <w:t>B. La materia.</w:t>
            </w:r>
            <w:r>
              <w:rPr>
                <w:rFonts w:eastAsia="Times New Roman" w:cs="Calibri" w:cstheme="minorHAnsi"/>
                <w:color w:val="auto"/>
                <w:sz w:val="22"/>
                <w:szCs w:val="22"/>
              </w:rPr>
              <w:t xml:space="preserve"> </w:t>
            </w:r>
            <w:r>
              <w:rPr>
                <w:rFonts w:cs="Calibri" w:cstheme="minorHAnsi"/>
                <w:sz w:val="22"/>
                <w:szCs w:val="22"/>
              </w:rPr>
              <w:t>Las propiedades de la materia justificadas en la teoría cinético-molecular.</w:t>
            </w:r>
          </w:p>
        </w:tc>
      </w:tr>
    </w:tbl>
    <w:p>
      <w:pPr>
        <w:pStyle w:val="Normal"/>
        <w:jc w:val="both"/>
        <w:rPr>
          <w:rFonts w:ascii="Calibri" w:hAnsi="Calibri" w:eastAsia="Cambria" w:cs="Cambria"/>
          <w:b/>
          <w:b/>
          <w:sz w:val="22"/>
          <w:szCs w:val="22"/>
          <w:u w:val="single"/>
        </w:rPr>
      </w:pPr>
      <w:r>
        <w:rPr>
          <w:rFonts w:eastAsia="Cambria" w:cs="Cambria"/>
          <w:b/>
          <w:sz w:val="22"/>
          <w:szCs w:val="22"/>
          <w:u w:val="single"/>
        </w:rPr>
      </w:r>
    </w:p>
    <w:tbl>
      <w:tblPr>
        <w:tblW w:w="9185" w:type="dxa"/>
        <w:jc w:val="left"/>
        <w:tblInd w:w="137" w:type="dxa"/>
        <w:tblCellMar>
          <w:top w:w="144" w:type="dxa"/>
          <w:left w:w="144" w:type="dxa"/>
          <w:bottom w:w="144" w:type="dxa"/>
          <w:right w:w="144" w:type="dxa"/>
        </w:tblCellMar>
        <w:tblLook w:firstRow="0" w:noVBand="1" w:lastRow="0" w:firstColumn="0" w:lastColumn="0" w:noHBand="1" w:val="0600"/>
      </w:tblPr>
      <w:tblGrid>
        <w:gridCol w:w="2400"/>
        <w:gridCol w:w="2209"/>
        <w:gridCol w:w="2254"/>
        <w:gridCol w:w="2"/>
        <w:gridCol w:w="2319"/>
      </w:tblGrid>
      <w:tr>
        <w:trPr>
          <w:trHeight w:val="545" w:hRule="atLeast"/>
        </w:trPr>
        <w:tc>
          <w:tcPr>
            <w:tcW w:w="6865"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UD 3: LAS MEZCLAS</w:t>
            </w:r>
          </w:p>
        </w:tc>
        <w:tc>
          <w:tcPr>
            <w:tcW w:w="2319"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414" w:hRule="atLeast"/>
        </w:trPr>
        <w:tc>
          <w:tcPr>
            <w:tcW w:w="6865"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EVALUACIÓN: 2ª</w:t>
            </w:r>
          </w:p>
        </w:tc>
        <w:tc>
          <w:tcPr>
            <w:tcW w:w="2319"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964" w:hRule="atLeast"/>
        </w:trPr>
        <w:tc>
          <w:tcPr>
            <w:tcW w:w="2400"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Competencias específicas</w:t>
            </w:r>
          </w:p>
        </w:tc>
        <w:tc>
          <w:tcPr>
            <w:tcW w:w="2209"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Criterios de evaluación</w:t>
            </w:r>
          </w:p>
        </w:tc>
        <w:tc>
          <w:tcPr>
            <w:tcW w:w="2254"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Concreción de los criterios de evaluación</w:t>
            </w:r>
          </w:p>
        </w:tc>
        <w:tc>
          <w:tcPr>
            <w:tcW w:w="2321" w:type="dxa"/>
            <w:gridSpan w:val="2"/>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Descriptores del perfil de salida</w:t>
            </w:r>
          </w:p>
        </w:tc>
      </w:tr>
      <w:tr>
        <w:trPr>
          <w:trHeight w:val="2465" w:hRule="atLeast"/>
        </w:trPr>
        <w:tc>
          <w:tcPr>
            <w:tcW w:w="2400" w:type="dxa"/>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asciiTheme="minorHAnsi" w:cstheme="minorHAnsi" w:hAnsiTheme="minorHAnsi"/>
                <w:b/>
                <w:b/>
                <w:sz w:val="18"/>
                <w:szCs w:val="18"/>
              </w:rPr>
            </w:pPr>
            <w:r>
              <w:rPr>
                <w:b/>
                <w:sz w:val="22"/>
                <w:szCs w:val="22"/>
              </w:rPr>
              <w:t>CE.FQ.3.</w:t>
            </w:r>
            <w:r>
              <w:rPr>
                <w:sz w:val="22"/>
                <w:szCs w:val="22"/>
              </w:rPr>
              <w:t xml:space="preserve"> Manejar con soltura las reglas y normas básicas de la física y la química en lo referente al lenguaje de la IUPAC, al lenguaje matemático, al empleo de unidades de medida correctas, al uso seguro del laboratorio y a la interpretación y producción de datos e información en diferentes formatos y fuentes, para reconocer el carácter universal y transversal del lenguaje científico y la necesidad de una comunicación fiable en investigación y ciencia entre diferentes países y culturas.</w:t>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rFonts w:ascii="Arial" w:hAnsi="Arial"/>
                <w:sz w:val="20"/>
                <w:szCs w:val="20"/>
              </w:rPr>
            </w:pPr>
            <w:r>
              <w:rPr>
                <w:sz w:val="22"/>
                <w:szCs w:val="22"/>
              </w:rPr>
              <w:t>3.1. Emplear datos en diferentes formatos para interpretar y comunicar información relativa a un proceso fisicoquímico concreto, relacionando entre sí lo que cada uno de ellos contiene, y extrayendo en cada caso lo más relevante para la resolución de un problema.</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Times New Roman" w:cs="Calibri" w:asciiTheme="minorHAnsi" w:cstheme="minorHAnsi" w:hAnsiTheme="minorHAnsi"/>
                <w:color w:val="auto"/>
                <w:sz w:val="18"/>
                <w:szCs w:val="18"/>
              </w:rPr>
            </w:pPr>
            <w:r>
              <w:rPr>
                <w:rFonts w:eastAsia="Times New Roman" w:cs="Calibri" w:cstheme="minorHAnsi"/>
                <w:color w:val="auto"/>
                <w:sz w:val="22"/>
                <w:szCs w:val="22"/>
              </w:rPr>
              <w:t xml:space="preserve">3.1.1. Extraer información relevante de gráficas y tablas.  </w:t>
            </w:r>
          </w:p>
        </w:tc>
        <w:tc>
          <w:tcPr>
            <w:tcW w:w="2321" w:type="dxa"/>
            <w:gridSpan w:val="2"/>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asciiTheme="minorHAnsi" w:cstheme="minorHAnsi" w:hAnsiTheme="minorHAnsi"/>
                <w:sz w:val="18"/>
                <w:szCs w:val="18"/>
                <w:lang w:val="en-GB"/>
              </w:rPr>
            </w:pPr>
            <w:r>
              <w:rPr>
                <w:sz w:val="22"/>
                <w:szCs w:val="22"/>
                <w:lang w:val="en-GB"/>
              </w:rPr>
              <w:t>STEM4, STEM5, CD3, CPSAA2, CC1, CCEC2, CCEC4.</w:t>
            </w:r>
          </w:p>
        </w:tc>
      </w:tr>
      <w:tr>
        <w:trPr>
          <w:trHeight w:val="2465" w:hRule="atLeast"/>
        </w:trPr>
        <w:tc>
          <w:tcPr>
            <w:tcW w:w="2400" w:type="dxa"/>
            <w:vMerge w:val="continue"/>
            <w:tcBorders>
              <w:left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cstheme="minorHAnsi"/>
                <w:b/>
                <w:b/>
                <w:sz w:val="22"/>
                <w:szCs w:val="22"/>
                <w:lang w:val="en-GB"/>
              </w:rPr>
            </w:pPr>
            <w:r>
              <w:rPr>
                <w:rFonts w:cs="Calibri" w:cstheme="minorHAnsi"/>
                <w:b/>
                <w:sz w:val="22"/>
                <w:szCs w:val="22"/>
                <w:lang w:val="en-GB"/>
              </w:rPr>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rFonts w:ascii="Arial" w:hAnsi="Arial"/>
                <w:sz w:val="20"/>
                <w:szCs w:val="20"/>
              </w:rPr>
            </w:pPr>
            <w:r>
              <w:rPr>
                <w:sz w:val="22"/>
                <w:szCs w:val="22"/>
              </w:rPr>
              <w:t>3.2. Utilizar adecuadamente las reglas básicas de la física y la química, incluyendo el uso de unidades de medida, las herramientas matemáticas y las reglas de nomenclatura, consiguiendo una comunicación efectiva con toda la comunidad científica.</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Arial Narrow" w:cs="Calibri" w:asciiTheme="minorHAnsi" w:cstheme="minorHAnsi" w:hAnsiTheme="minorHAnsi"/>
                <w:bCs/>
                <w:color w:val="000000"/>
                <w:sz w:val="18"/>
                <w:szCs w:val="18"/>
              </w:rPr>
            </w:pPr>
            <w:r>
              <w:rPr>
                <w:rFonts w:eastAsia="Arial Narrow" w:cs="Calibri" w:cstheme="minorHAnsi"/>
                <w:bCs/>
                <w:color w:val="000000"/>
                <w:sz w:val="22"/>
                <w:szCs w:val="22"/>
              </w:rPr>
              <w:t xml:space="preserve">3.2.1. Usar correctamente las unidades de medida y las herramientas matemáticas en la resolución de problemas.  </w:t>
            </w:r>
          </w:p>
        </w:tc>
        <w:tc>
          <w:tcPr>
            <w:tcW w:w="2321" w:type="dxa"/>
            <w:gridSpan w:val="2"/>
            <w:vMerge w:val="continue"/>
            <w:tcBorders>
              <w:left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cstheme="minorHAnsi"/>
                <w:sz w:val="22"/>
                <w:szCs w:val="22"/>
              </w:rPr>
            </w:pPr>
            <w:r>
              <w:rPr>
                <w:rFonts w:cs="Calibri" w:cstheme="minorHAnsi"/>
                <w:sz w:val="22"/>
                <w:szCs w:val="22"/>
              </w:rPr>
            </w:r>
          </w:p>
        </w:tc>
      </w:tr>
      <w:tr>
        <w:trPr>
          <w:trHeight w:val="2465" w:hRule="atLeast"/>
        </w:trPr>
        <w:tc>
          <w:tcPr>
            <w:tcW w:w="2400" w:type="dxa"/>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b/>
                <w:b/>
                <w:sz w:val="22"/>
                <w:szCs w:val="22"/>
              </w:rPr>
            </w:pPr>
            <w:r>
              <w:rPr>
                <w:b/>
                <w:sz w:val="22"/>
                <w:szCs w:val="22"/>
              </w:rPr>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rFonts w:ascii="Arial" w:hAnsi="Arial"/>
                <w:sz w:val="20"/>
                <w:szCs w:val="20"/>
              </w:rPr>
            </w:pPr>
            <w:r>
              <w:rPr>
                <w:sz w:val="22"/>
                <w:szCs w:val="22"/>
              </w:rPr>
              <w:t>3.3. Poner en práctica las normas de uso de los espacios específicos de la ciencia, como el laboratorio de Física y Química, asegurando la salud propia y colectiva, la conservación sostenible del medio ambiente y el cuidado de las instalaciones.</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Arial Narrow" w:cs="Calibri" w:asciiTheme="minorHAnsi" w:cstheme="minorHAnsi" w:hAnsiTheme="minorHAnsi"/>
                <w:bCs/>
                <w:color w:val="000000"/>
                <w:sz w:val="18"/>
                <w:szCs w:val="18"/>
              </w:rPr>
            </w:pPr>
            <w:r>
              <w:rPr>
                <w:rFonts w:eastAsia="Arial Narrow" w:cs="Calibri" w:cstheme="minorHAnsi"/>
                <w:bCs/>
                <w:color w:val="000000"/>
                <w:sz w:val="22"/>
                <w:szCs w:val="22"/>
              </w:rPr>
              <w:t xml:space="preserve">3.3.2. Realizar prácticas de laboratorio respetando las normas de seguridad y cuidando las instalaciones. </w:t>
            </w:r>
          </w:p>
        </w:tc>
        <w:tc>
          <w:tcPr>
            <w:tcW w:w="2321" w:type="dxa"/>
            <w:gridSpan w:val="2"/>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sz w:val="22"/>
                <w:szCs w:val="22"/>
              </w:rPr>
            </w:pPr>
            <w:r>
              <w:rPr>
                <w:sz w:val="22"/>
                <w:szCs w:val="22"/>
              </w:rPr>
            </w:r>
          </w:p>
        </w:tc>
      </w:tr>
      <w:tr>
        <w:trPr>
          <w:trHeight w:val="418" w:hRule="atLeast"/>
        </w:trPr>
        <w:tc>
          <w:tcPr>
            <w:tcW w:w="6865" w:type="dxa"/>
            <w:gridSpan w:val="4"/>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Saberes básicos</w:t>
            </w:r>
          </w:p>
        </w:tc>
        <w:tc>
          <w:tcPr>
            <w:tcW w:w="2319"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652" w:hRule="atLeast"/>
        </w:trPr>
        <w:tc>
          <w:tcPr>
            <w:tcW w:w="9184" w:type="dxa"/>
            <w:gridSpan w:val="5"/>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0"/>
                <w:szCs w:val="20"/>
              </w:rPr>
            </w:pPr>
            <w:r>
              <w:rPr>
                <w:rFonts w:eastAsia="Arial Narrow" w:cs="Calibri" w:cstheme="minorHAnsi"/>
                <w:b/>
                <w:bCs/>
                <w:color w:val="000000"/>
                <w:sz w:val="22"/>
                <w:szCs w:val="22"/>
              </w:rPr>
              <w:t xml:space="preserve">B. La materia. </w:t>
            </w:r>
            <w:r>
              <w:rPr>
                <w:rFonts w:eastAsia="Arial Narrow" w:cs="Calibri" w:cstheme="minorHAnsi"/>
                <w:bCs/>
                <w:color w:val="000000"/>
                <w:sz w:val="22"/>
                <w:szCs w:val="22"/>
              </w:rPr>
              <w:t>Las</w:t>
            </w:r>
            <w:r>
              <w:rPr>
                <w:rFonts w:cs="Calibri" w:cstheme="minorHAnsi"/>
                <w:sz w:val="22"/>
                <w:szCs w:val="22"/>
              </w:rPr>
              <w:t xml:space="preserve"> propiedades de la materia justificadas en la teoría cinético-molecular. La Clasificación y la composición de sistemas materiales.</w:t>
            </w:r>
          </w:p>
        </w:tc>
      </w:tr>
    </w:tbl>
    <w:p>
      <w:pPr>
        <w:pStyle w:val="Normal"/>
        <w:jc w:val="both"/>
        <w:rPr>
          <w:rFonts w:ascii="Calibri" w:hAnsi="Calibri" w:eastAsia="Cambria" w:cs="Cambria"/>
          <w:b/>
          <w:b/>
          <w:sz w:val="22"/>
          <w:szCs w:val="22"/>
          <w:u w:val="single"/>
        </w:rPr>
      </w:pPr>
      <w:r>
        <w:rPr>
          <w:rFonts w:eastAsia="Cambria" w:cs="Cambria"/>
          <w:b/>
          <w:sz w:val="22"/>
          <w:szCs w:val="22"/>
          <w:u w:val="single"/>
        </w:rPr>
      </w:r>
    </w:p>
    <w:tbl>
      <w:tblPr>
        <w:tblW w:w="9185" w:type="dxa"/>
        <w:jc w:val="left"/>
        <w:tblInd w:w="137" w:type="dxa"/>
        <w:tblCellMar>
          <w:top w:w="144" w:type="dxa"/>
          <w:left w:w="144" w:type="dxa"/>
          <w:bottom w:w="144" w:type="dxa"/>
          <w:right w:w="144" w:type="dxa"/>
        </w:tblCellMar>
        <w:tblLook w:firstRow="0" w:noVBand="1" w:lastRow="0" w:firstColumn="0" w:lastColumn="0" w:noHBand="1" w:val="0600"/>
      </w:tblPr>
      <w:tblGrid>
        <w:gridCol w:w="2399"/>
        <w:gridCol w:w="2219"/>
        <w:gridCol w:w="2250"/>
        <w:gridCol w:w="1"/>
        <w:gridCol w:w="2315"/>
      </w:tblGrid>
      <w:tr>
        <w:trPr>
          <w:trHeight w:val="545" w:hRule="atLeast"/>
        </w:trPr>
        <w:tc>
          <w:tcPr>
            <w:tcW w:w="6869"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UD 4: EL ÁTOMO</w:t>
            </w:r>
          </w:p>
        </w:tc>
        <w:tc>
          <w:tcPr>
            <w:tcW w:w="2315"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414" w:hRule="atLeast"/>
        </w:trPr>
        <w:tc>
          <w:tcPr>
            <w:tcW w:w="6869"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EVALUACIÓN: 2ª</w:t>
            </w:r>
          </w:p>
        </w:tc>
        <w:tc>
          <w:tcPr>
            <w:tcW w:w="2315"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964" w:hRule="atLeast"/>
        </w:trPr>
        <w:tc>
          <w:tcPr>
            <w:tcW w:w="2399"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Competencias específicas</w:t>
            </w:r>
          </w:p>
        </w:tc>
        <w:tc>
          <w:tcPr>
            <w:tcW w:w="2219"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Criterios de evaluación</w:t>
            </w:r>
          </w:p>
        </w:tc>
        <w:tc>
          <w:tcPr>
            <w:tcW w:w="2250"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Concreción de los criterios de evaluación</w:t>
            </w:r>
          </w:p>
        </w:tc>
        <w:tc>
          <w:tcPr>
            <w:tcW w:w="2316" w:type="dxa"/>
            <w:gridSpan w:val="2"/>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Descriptores del perfil de salida</w:t>
            </w:r>
          </w:p>
        </w:tc>
      </w:tr>
      <w:tr>
        <w:trPr>
          <w:trHeight w:val="2465" w:hRule="atLeast"/>
        </w:trPr>
        <w:tc>
          <w:tcPr>
            <w:tcW w:w="2399" w:type="dxa"/>
            <w:vMerge w:val="restart"/>
            <w:tcBorders>
              <w:top w:val="single" w:sz="6" w:space="0" w:color="9E9E9E"/>
              <w:left w:val="single" w:sz="6" w:space="0" w:color="9E9E9E"/>
              <w:right w:val="single" w:sz="6" w:space="0" w:color="9E9E9E"/>
            </w:tcBorders>
            <w:shd w:color="auto" w:fill="auto" w:val="clear"/>
            <w:vAlign w:val="center"/>
          </w:tcPr>
          <w:p>
            <w:pPr>
              <w:pStyle w:val="Normal"/>
              <w:spacing w:before="0" w:after="200"/>
              <w:jc w:val="center"/>
              <w:rPr>
                <w:b/>
                <w:b/>
              </w:rPr>
            </w:pPr>
            <w:r>
              <w:rPr>
                <w:b/>
                <w:sz w:val="22"/>
                <w:szCs w:val="22"/>
              </w:rPr>
              <w:t xml:space="preserve">CE.FQ.4. </w:t>
            </w:r>
            <w:r>
              <w:rPr>
                <w:sz w:val="22"/>
                <w:szCs w:val="22"/>
              </w:rPr>
              <w:t>Utilizar de forma crítica, eficiente y segura plataformas digitales y recursos variados, tanto para el trabajo individual como en equipo, para fomentar la creatividad, el desarrollo personal y el aprendizaje individual y social, mediante la consulta de información, la creación de materiales y la comunicación efectiva en los diferentes entornos de aprendizaje.</w:t>
            </w:r>
          </w:p>
        </w:tc>
        <w:tc>
          <w:tcPr>
            <w:tcW w:w="221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rFonts w:ascii="Arial" w:hAnsi="Arial"/>
                <w:sz w:val="20"/>
                <w:szCs w:val="20"/>
              </w:rPr>
            </w:pPr>
            <w:r>
              <w:rPr>
                <w:sz w:val="22"/>
                <w:szCs w:val="22"/>
              </w:rPr>
              <w:t>4.1. Utilizar recursos variados, tradicionales y digitales, mejorando el aprendizaje autónomo y la interacción con otros miembros de la comunidad educativa, con respeto hacia docentes y estudiantes y analizando críticamente las aportaciones de cada participante.</w:t>
            </w:r>
          </w:p>
        </w:tc>
        <w:tc>
          <w:tcPr>
            <w:tcW w:w="2250"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Times New Roman" w:cs="Calibri" w:asciiTheme="minorHAnsi" w:cstheme="minorHAnsi" w:hAnsiTheme="minorHAnsi"/>
                <w:color w:val="auto"/>
                <w:sz w:val="18"/>
                <w:szCs w:val="18"/>
              </w:rPr>
            </w:pPr>
            <w:r>
              <w:rPr>
                <w:rFonts w:eastAsia="Times New Roman" w:cs="Calibri" w:cstheme="minorHAnsi"/>
                <w:color w:val="auto"/>
                <w:sz w:val="22"/>
                <w:szCs w:val="22"/>
              </w:rPr>
              <w:t xml:space="preserve">4.1.1. Mejorar el aprendizaje autónomo utilizando diferentes recursos. </w:t>
            </w:r>
          </w:p>
        </w:tc>
        <w:tc>
          <w:tcPr>
            <w:tcW w:w="2316" w:type="dxa"/>
            <w:gridSpan w:val="2"/>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rFonts w:ascii="Arial" w:hAnsi="Arial" w:eastAsia="Times New Roman" w:cs="Arial"/>
                <w:color w:val="auto"/>
                <w:sz w:val="20"/>
                <w:szCs w:val="20"/>
                <w:lang w:val="en-GB"/>
              </w:rPr>
            </w:pPr>
            <w:r>
              <w:rPr>
                <w:sz w:val="22"/>
                <w:szCs w:val="22"/>
                <w:lang w:val="en-GB"/>
              </w:rPr>
              <w:t>CCL2, CCL3, STEM4, CD1, CD2, CPSAA3, CE3, CCEC4.</w:t>
            </w:r>
          </w:p>
        </w:tc>
      </w:tr>
      <w:tr>
        <w:trPr>
          <w:trHeight w:val="2465" w:hRule="atLeast"/>
        </w:trPr>
        <w:tc>
          <w:tcPr>
            <w:tcW w:w="2399" w:type="dxa"/>
            <w:vMerge w:val="continue"/>
            <w:tcBorders>
              <w:left w:val="single" w:sz="6" w:space="0" w:color="9E9E9E"/>
              <w:bottom w:val="single" w:sz="6" w:space="0" w:color="9E9E9E"/>
              <w:right w:val="single" w:sz="6" w:space="0" w:color="9E9E9E"/>
            </w:tcBorders>
            <w:shd w:color="auto" w:fill="auto" w:val="clear"/>
            <w:vAlign w:val="center"/>
          </w:tcPr>
          <w:p>
            <w:pPr>
              <w:pStyle w:val="Normal"/>
              <w:spacing w:before="0" w:after="200"/>
              <w:jc w:val="center"/>
              <w:rPr>
                <w:rFonts w:ascii="Calibri" w:hAnsi="Calibri"/>
                <w:i/>
                <w:i/>
                <w:sz w:val="22"/>
                <w:szCs w:val="22"/>
                <w:lang w:val="en-GB"/>
              </w:rPr>
            </w:pPr>
            <w:r>
              <w:rPr>
                <w:i/>
                <w:sz w:val="22"/>
                <w:szCs w:val="22"/>
                <w:lang w:val="en-GB"/>
              </w:rPr>
            </w:r>
          </w:p>
        </w:tc>
        <w:tc>
          <w:tcPr>
            <w:tcW w:w="221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rFonts w:ascii="Arial" w:hAnsi="Arial"/>
                <w:sz w:val="20"/>
                <w:szCs w:val="20"/>
              </w:rPr>
            </w:pPr>
            <w:r>
              <w:rPr>
                <w:sz w:val="22"/>
                <w:szCs w:val="22"/>
              </w:rPr>
              <w:t>4.2. Trabajar de forma adecuada con medios variados, tradicionales y digitales, en la consulta de información y la creación de contenidos, seleccionando con criterio las fuentes más fiables y desechando las menos adecuadas y mejorando el aprendizaje propio y colectivo.</w:t>
            </w:r>
          </w:p>
        </w:tc>
        <w:tc>
          <w:tcPr>
            <w:tcW w:w="2250"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Times New Roman" w:cs="Calibri" w:asciiTheme="minorHAnsi" w:cstheme="minorHAnsi" w:hAnsiTheme="minorHAnsi"/>
                <w:color w:val="auto"/>
                <w:sz w:val="18"/>
                <w:szCs w:val="18"/>
              </w:rPr>
            </w:pPr>
            <w:r>
              <w:rPr>
                <w:rFonts w:eastAsia="Times New Roman" w:cs="Calibri" w:cstheme="minorHAnsi"/>
                <w:color w:val="auto"/>
                <w:sz w:val="22"/>
                <w:szCs w:val="22"/>
              </w:rPr>
              <w:t xml:space="preserve">4.2.1. Recopilar información científica de fuentes fiables y organizarla para la creación de contenidos. </w:t>
            </w:r>
          </w:p>
        </w:tc>
        <w:tc>
          <w:tcPr>
            <w:tcW w:w="2316" w:type="dxa"/>
            <w:gridSpan w:val="2"/>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2465" w:hRule="atLeast"/>
        </w:trPr>
        <w:tc>
          <w:tcPr>
            <w:tcW w:w="2399" w:type="dxa"/>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18"/>
                <w:szCs w:val="18"/>
              </w:rPr>
            </w:pPr>
            <w:r>
              <w:rPr>
                <w:rFonts w:eastAsia="Times New Roman" w:cs="Calibri" w:cstheme="minorHAnsi"/>
                <w:color w:val="auto"/>
                <w:sz w:val="22"/>
                <w:szCs w:val="22"/>
              </w:rPr>
              <w:t>CE.FQ.6. Comprender y valorar la ciencia como una construcción colectiva en continuo cambio y evolución, en la que no solo participan las personas dedicadas a ella, sino que también requiere de una interacción con el resto de la sociedad, para obtener resultados que repercutan en el avance tecnológico, económico, ambiental y social.</w:t>
            </w:r>
          </w:p>
        </w:tc>
        <w:tc>
          <w:tcPr>
            <w:tcW w:w="221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rFonts w:ascii="Arial" w:hAnsi="Arial"/>
                <w:sz w:val="20"/>
                <w:szCs w:val="20"/>
              </w:rPr>
            </w:pPr>
            <w:r>
              <w:rPr>
                <w:sz w:val="22"/>
                <w:szCs w:val="22"/>
              </w:rPr>
              <w:t>6.1. Reconocer y valorar, a través del análisis histórico de los avances científicos logrados por hombres y mujeres de ciencia, que la ciencia es un proceso en permanente construcción y las repercusiones mutuas de la ciencia actual con la tecnología, la sociedad y el medio ambiente.</w:t>
            </w:r>
          </w:p>
        </w:tc>
        <w:tc>
          <w:tcPr>
            <w:tcW w:w="2250"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Times New Roman" w:cs="Calibri" w:asciiTheme="minorHAnsi" w:cstheme="minorHAnsi" w:hAnsiTheme="minorHAnsi"/>
                <w:color w:val="auto"/>
                <w:sz w:val="18"/>
                <w:szCs w:val="18"/>
              </w:rPr>
            </w:pPr>
            <w:r>
              <w:rPr>
                <w:rFonts w:eastAsia="Times New Roman" w:cs="Calibri" w:cstheme="minorHAnsi"/>
                <w:color w:val="auto"/>
                <w:sz w:val="22"/>
                <w:szCs w:val="22"/>
              </w:rPr>
              <w:t xml:space="preserve">6.1.1. Valorar la aportación de los avances científicos históricos en la sociedad. </w:t>
            </w:r>
          </w:p>
          <w:p>
            <w:pPr>
              <w:pStyle w:val="Normal"/>
              <w:spacing w:lineRule="auto" w:line="240" w:before="0" w:after="0"/>
              <w:rPr>
                <w:rFonts w:ascii="Calibri" w:hAnsi="Calibri" w:eastAsia="Times New Roman" w:cs="Calibri" w:cstheme="minorHAnsi"/>
                <w:color w:val="auto"/>
                <w:sz w:val="22"/>
                <w:szCs w:val="22"/>
              </w:rPr>
            </w:pPr>
            <w:r>
              <w:rPr>
                <w:rFonts w:eastAsia="Times New Roman" w:cs="Calibri" w:cstheme="minorHAnsi"/>
                <w:color w:val="auto"/>
                <w:sz w:val="22"/>
                <w:szCs w:val="22"/>
              </w:rPr>
            </w:r>
          </w:p>
          <w:p>
            <w:pPr>
              <w:pStyle w:val="Normal"/>
              <w:spacing w:lineRule="auto" w:line="240" w:before="0" w:after="0"/>
              <w:rPr>
                <w:rFonts w:ascii="Arial" w:hAnsi="Arial" w:eastAsia="Times New Roman" w:cs="Arial"/>
                <w:color w:val="auto"/>
                <w:sz w:val="24"/>
                <w:szCs w:val="24"/>
              </w:rPr>
            </w:pPr>
            <w:r>
              <w:rPr>
                <w:rFonts w:eastAsia="Times New Roman" w:cs="Calibri" w:cstheme="minorHAnsi"/>
                <w:color w:val="auto"/>
                <w:sz w:val="22"/>
                <w:szCs w:val="22"/>
              </w:rPr>
              <w:t>6.1.2. Analizar las relaciones entre ciencia, tecnología y sociedad.</w:t>
            </w:r>
            <w:r>
              <w:rPr>
                <w:rFonts w:eastAsia="Times New Roman" w:cs="Arial"/>
                <w:color w:val="auto"/>
                <w:sz w:val="22"/>
                <w:szCs w:val="22"/>
              </w:rPr>
              <w:t xml:space="preserve"> </w:t>
            </w:r>
          </w:p>
        </w:tc>
        <w:tc>
          <w:tcPr>
            <w:tcW w:w="2316" w:type="dxa"/>
            <w:gridSpan w:val="2"/>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rFonts w:ascii="Arial" w:hAnsi="Arial" w:eastAsia="Times New Roman" w:cs="Arial"/>
                <w:color w:val="auto"/>
                <w:sz w:val="20"/>
                <w:szCs w:val="20"/>
                <w:lang w:val="en-GB"/>
              </w:rPr>
            </w:pPr>
            <w:r>
              <w:rPr>
                <w:sz w:val="22"/>
                <w:szCs w:val="22"/>
                <w:lang w:val="en-GB"/>
              </w:rPr>
              <w:t>STEM2, STEM5, CD4, CPSAA1, CPSAA4, CC4, CCEC1.</w:t>
            </w:r>
          </w:p>
        </w:tc>
      </w:tr>
      <w:tr>
        <w:trPr>
          <w:trHeight w:val="2465" w:hRule="atLeast"/>
        </w:trPr>
        <w:tc>
          <w:tcPr>
            <w:tcW w:w="2399" w:type="dxa"/>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Arial"/>
                <w:color w:val="auto"/>
                <w:sz w:val="22"/>
                <w:szCs w:val="22"/>
                <w:lang w:val="en-GB"/>
              </w:rPr>
            </w:pPr>
            <w:r>
              <w:rPr>
                <w:rFonts w:eastAsia="Times New Roman" w:cs="Arial"/>
                <w:color w:val="auto"/>
                <w:sz w:val="22"/>
                <w:szCs w:val="22"/>
                <w:lang w:val="en-GB"/>
              </w:rPr>
            </w:r>
          </w:p>
        </w:tc>
        <w:tc>
          <w:tcPr>
            <w:tcW w:w="221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rFonts w:ascii="Arial" w:hAnsi="Arial"/>
                <w:sz w:val="20"/>
                <w:szCs w:val="20"/>
              </w:rPr>
            </w:pPr>
            <w:r>
              <w:rPr>
                <w:sz w:val="22"/>
                <w:szCs w:val="22"/>
              </w:rPr>
              <w:t>6.2. Detectar en el entorno las necesidades tecnológicas, ambientales, económicas y sociales más importantes que demanda la sociedad, entendiendo la capacidad de la ciencia para darles solución sostenible a través de la implicación de toda la ciudadanía.</w:t>
            </w:r>
          </w:p>
        </w:tc>
        <w:tc>
          <w:tcPr>
            <w:tcW w:w="2250"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Times New Roman" w:cs="Calibri" w:asciiTheme="minorHAnsi" w:cstheme="minorHAnsi" w:hAnsiTheme="minorHAnsi"/>
                <w:color w:val="auto"/>
                <w:sz w:val="18"/>
                <w:szCs w:val="18"/>
              </w:rPr>
            </w:pPr>
            <w:r>
              <w:rPr>
                <w:rFonts w:eastAsia="Times New Roman" w:cs="Calibri" w:cstheme="minorHAnsi"/>
                <w:color w:val="auto"/>
                <w:sz w:val="22"/>
                <w:szCs w:val="22"/>
              </w:rPr>
              <w:t xml:space="preserve">6.2.1. Reconocer las diferentes soluciones que ofrece la ciencia para algunos problemas de la sociedad. </w:t>
            </w:r>
          </w:p>
        </w:tc>
        <w:tc>
          <w:tcPr>
            <w:tcW w:w="2316" w:type="dxa"/>
            <w:gridSpan w:val="2"/>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418" w:hRule="atLeast"/>
        </w:trPr>
        <w:tc>
          <w:tcPr>
            <w:tcW w:w="6869" w:type="dxa"/>
            <w:gridSpan w:val="4"/>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Saberes básicos</w:t>
            </w:r>
          </w:p>
        </w:tc>
        <w:tc>
          <w:tcPr>
            <w:tcW w:w="2315"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652" w:hRule="atLeast"/>
        </w:trPr>
        <w:tc>
          <w:tcPr>
            <w:tcW w:w="9184" w:type="dxa"/>
            <w:gridSpan w:val="5"/>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0"/>
                <w:szCs w:val="20"/>
              </w:rPr>
            </w:pPr>
            <w:r>
              <w:rPr>
                <w:rFonts w:eastAsia="Times New Roman" w:cs="Calibri" w:cstheme="minorHAnsi"/>
                <w:b/>
                <w:color w:val="auto"/>
                <w:sz w:val="22"/>
                <w:szCs w:val="22"/>
              </w:rPr>
              <w:t>B. La materia.</w:t>
            </w:r>
            <w:r>
              <w:rPr>
                <w:rFonts w:eastAsia="Times New Roman" w:cs="Calibri" w:cstheme="minorHAnsi"/>
                <w:color w:val="auto"/>
                <w:sz w:val="22"/>
                <w:szCs w:val="22"/>
              </w:rPr>
              <w:t xml:space="preserve"> </w:t>
            </w:r>
            <w:r>
              <w:rPr>
                <w:rFonts w:cs="Calibri" w:cstheme="minorHAnsi"/>
                <w:sz w:val="22"/>
                <w:szCs w:val="22"/>
              </w:rPr>
              <w:t>Estructura atómica y naturaleza eléctrica.</w:t>
            </w:r>
          </w:p>
        </w:tc>
      </w:tr>
    </w:tbl>
    <w:p>
      <w:pPr>
        <w:pStyle w:val="Normal"/>
        <w:jc w:val="both"/>
        <w:rPr>
          <w:rFonts w:ascii="Calibri" w:hAnsi="Calibri" w:eastAsia="Cambria" w:cs="Cambria"/>
          <w:b/>
          <w:b/>
          <w:sz w:val="22"/>
          <w:szCs w:val="22"/>
          <w:u w:val="single"/>
        </w:rPr>
      </w:pPr>
      <w:r>
        <w:rPr>
          <w:rFonts w:eastAsia="Cambria" w:cs="Cambria"/>
          <w:b/>
          <w:sz w:val="22"/>
          <w:szCs w:val="22"/>
          <w:u w:val="single"/>
        </w:rPr>
      </w:r>
    </w:p>
    <w:tbl>
      <w:tblPr>
        <w:tblW w:w="9185" w:type="dxa"/>
        <w:jc w:val="left"/>
        <w:tblInd w:w="137" w:type="dxa"/>
        <w:tblCellMar>
          <w:top w:w="144" w:type="dxa"/>
          <w:left w:w="144" w:type="dxa"/>
          <w:bottom w:w="144" w:type="dxa"/>
          <w:right w:w="144" w:type="dxa"/>
        </w:tblCellMar>
        <w:tblLook w:firstRow="0" w:noVBand="1" w:lastRow="0" w:firstColumn="0" w:lastColumn="0" w:noHBand="1" w:val="0600"/>
      </w:tblPr>
      <w:tblGrid>
        <w:gridCol w:w="2321"/>
        <w:gridCol w:w="2220"/>
        <w:gridCol w:w="2401"/>
        <w:gridCol w:w="7"/>
        <w:gridCol w:w="2235"/>
      </w:tblGrid>
      <w:tr>
        <w:trPr>
          <w:trHeight w:val="545" w:hRule="atLeast"/>
        </w:trPr>
        <w:tc>
          <w:tcPr>
            <w:tcW w:w="6949"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UD 5: ELEMENTOS Y COMPUESTOS</w:t>
            </w:r>
          </w:p>
        </w:tc>
        <w:tc>
          <w:tcPr>
            <w:tcW w:w="2235"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414" w:hRule="atLeast"/>
        </w:trPr>
        <w:tc>
          <w:tcPr>
            <w:tcW w:w="6949"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EVALUACIÓN: 3ª</w:t>
            </w:r>
          </w:p>
        </w:tc>
        <w:tc>
          <w:tcPr>
            <w:tcW w:w="2235"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964" w:hRule="atLeast"/>
        </w:trPr>
        <w:tc>
          <w:tcPr>
            <w:tcW w:w="2321"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Competencias específicas</w:t>
            </w:r>
          </w:p>
        </w:tc>
        <w:tc>
          <w:tcPr>
            <w:tcW w:w="2220"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Criterios de evaluación</w:t>
            </w:r>
          </w:p>
        </w:tc>
        <w:tc>
          <w:tcPr>
            <w:tcW w:w="2401"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Concreción de los criterios de evaluación</w:t>
            </w:r>
          </w:p>
        </w:tc>
        <w:tc>
          <w:tcPr>
            <w:tcW w:w="2242" w:type="dxa"/>
            <w:gridSpan w:val="2"/>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Descriptores del perfil de salida</w:t>
            </w:r>
          </w:p>
        </w:tc>
      </w:tr>
      <w:tr>
        <w:trPr>
          <w:trHeight w:val="2465" w:hRule="atLeast"/>
        </w:trPr>
        <w:tc>
          <w:tcPr>
            <w:tcW w:w="2321"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Arial" w:hAnsi="Arial" w:eastAsia="Times New Roman" w:cs="Arial"/>
                <w:color w:val="auto"/>
                <w:sz w:val="24"/>
                <w:szCs w:val="24"/>
              </w:rPr>
            </w:pPr>
            <w:r>
              <w:rPr>
                <w:b/>
                <w:sz w:val="22"/>
                <w:szCs w:val="22"/>
              </w:rPr>
              <w:t>CE.FQ.3.</w:t>
            </w:r>
            <w:r>
              <w:rPr>
                <w:sz w:val="22"/>
                <w:szCs w:val="22"/>
              </w:rPr>
              <w:t xml:space="preserve"> Manejar con soltura las reglas y normas básicas de la física y la química en lo referente al lenguaje de la IUPAC, al lenguaje matemático, al empleo de unidades de medida correctas, al uso seguro del laboratorio y a la interpretación y producción de datos e información en diferentes formatos y fuentes, para reconocer el carácter universal y transversal del lenguaje científico y la necesidad de una comunicación fiable en investigación y ciencia entre diferentes países y culturas.</w:t>
            </w:r>
          </w:p>
        </w:tc>
        <w:tc>
          <w:tcPr>
            <w:tcW w:w="2220"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rPr>
                <w:rFonts w:ascii="Arial" w:hAnsi="Arial"/>
                <w:sz w:val="20"/>
                <w:szCs w:val="20"/>
              </w:rPr>
            </w:pPr>
            <w:r>
              <w:rPr>
                <w:sz w:val="22"/>
                <w:szCs w:val="22"/>
              </w:rPr>
              <w:t>3.2. Utilizar adecuadamente las reglas básicas de la física y la química, incluyendo el uso de unidades de medida, las herramientas matemáticas y las reglas de nomenclatura, consiguiendo una comunicación efectiva con toda la comunidad científica.</w:t>
            </w:r>
          </w:p>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c>
          <w:tcPr>
            <w:tcW w:w="2401"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18"/>
                <w:szCs w:val="18"/>
              </w:rPr>
            </w:pPr>
            <w:r>
              <w:rPr>
                <w:rFonts w:eastAsia="Times New Roman" w:cs="Calibri" w:cstheme="minorHAnsi"/>
                <w:color w:val="auto"/>
                <w:sz w:val="22"/>
                <w:szCs w:val="22"/>
              </w:rPr>
              <w:t xml:space="preserve">3.2.2. Formular y nombrar compuestos binarios según las reglas de nomenclatura de la IUPAC. </w:t>
            </w:r>
          </w:p>
        </w:tc>
        <w:tc>
          <w:tcPr>
            <w:tcW w:w="2242" w:type="dxa"/>
            <w:gridSpan w:val="2"/>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Arial" w:hAnsi="Arial" w:eastAsia="Times New Roman" w:cs="Arial"/>
                <w:color w:val="auto"/>
                <w:sz w:val="24"/>
                <w:szCs w:val="24"/>
                <w:lang w:val="en-GB"/>
              </w:rPr>
            </w:pPr>
            <w:r>
              <w:rPr>
                <w:sz w:val="22"/>
                <w:szCs w:val="22"/>
                <w:lang w:val="en-GB"/>
              </w:rPr>
              <w:t>STEM4, STEM5, CD3, CPSAA2, CC1, CCEC2, CCEC4.</w:t>
            </w:r>
          </w:p>
        </w:tc>
      </w:tr>
      <w:tr>
        <w:trPr>
          <w:trHeight w:val="2158" w:hRule="atLeast"/>
        </w:trPr>
        <w:tc>
          <w:tcPr>
            <w:tcW w:w="2321" w:type="dxa"/>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18"/>
                <w:szCs w:val="18"/>
              </w:rPr>
            </w:pPr>
            <w:r>
              <w:rPr>
                <w:rFonts w:eastAsia="Times New Roman" w:cs="Calibri" w:cstheme="minorHAnsi"/>
                <w:b/>
                <w:color w:val="auto"/>
                <w:sz w:val="22"/>
                <w:szCs w:val="22"/>
              </w:rPr>
              <w:t>CE.FQ.5.</w:t>
            </w:r>
            <w:r>
              <w:rPr>
                <w:rFonts w:eastAsia="Times New Roman" w:cs="Calibri" w:cstheme="minorHAnsi"/>
                <w:color w:val="auto"/>
                <w:sz w:val="22"/>
                <w:szCs w:val="22"/>
              </w:rPr>
              <w:t xml:space="preserve"> </w:t>
            </w:r>
            <w:r>
              <w:rPr>
                <w:rFonts w:cs="Calibri" w:cstheme="minorHAnsi"/>
                <w:sz w:val="22"/>
                <w:szCs w:val="22"/>
              </w:rPr>
              <w:t>Utilizar las estrategias propias del trabajo colaborativo que permitan potenciar el crecimiento entre iguales como base emprendedora de una comunidad científica crítica, ética y eficiente, para comprender la importancia de la ciencia en la mejora de la sociedad, las aplicaciones y repercusiones de los avances científicos, la preservación de la salud y la conservación sostenible del medio ambiente.</w:t>
            </w:r>
          </w:p>
        </w:tc>
        <w:tc>
          <w:tcPr>
            <w:tcW w:w="2220"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rPr>
                <w:rFonts w:ascii="Arial" w:hAnsi="Arial"/>
                <w:sz w:val="20"/>
                <w:szCs w:val="20"/>
              </w:rPr>
            </w:pPr>
            <w:r>
              <w:rPr>
                <w:sz w:val="22"/>
                <w:szCs w:val="22"/>
              </w:rPr>
              <w:t>5.1. Establecer interacciones constructivas y coeducativas, emprendiendo actividades de cooperación como forma de construir un medio de trabajo eficiente en la ciencia.</w:t>
            </w:r>
          </w:p>
        </w:tc>
        <w:tc>
          <w:tcPr>
            <w:tcW w:w="2401"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18"/>
                <w:szCs w:val="18"/>
              </w:rPr>
            </w:pPr>
            <w:r>
              <w:rPr>
                <w:rFonts w:eastAsia="Times New Roman" w:cs="Calibri" w:cstheme="minorHAnsi"/>
                <w:color w:val="auto"/>
                <w:sz w:val="22"/>
                <w:szCs w:val="22"/>
              </w:rPr>
              <w:t xml:space="preserve">5.1.1. Participar en tareas grupales relacionadas con la Tabla Periódica de los elementos. </w:t>
            </w:r>
          </w:p>
        </w:tc>
        <w:tc>
          <w:tcPr>
            <w:tcW w:w="2242" w:type="dxa"/>
            <w:gridSpan w:val="2"/>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rFonts w:ascii="Arial" w:hAnsi="Arial" w:eastAsia="Times New Roman" w:cs="Arial"/>
                <w:color w:val="auto"/>
                <w:sz w:val="20"/>
                <w:szCs w:val="20"/>
                <w:lang w:val="en-GB"/>
              </w:rPr>
            </w:pPr>
            <w:r>
              <w:rPr>
                <w:sz w:val="22"/>
                <w:szCs w:val="22"/>
                <w:lang w:val="en-GB"/>
              </w:rPr>
              <w:t>CCL5, CP3, STEM3, STEM5, CD3, CPSAA3, CC3, CE2.</w:t>
            </w:r>
          </w:p>
        </w:tc>
      </w:tr>
      <w:tr>
        <w:trPr>
          <w:trHeight w:val="2065" w:hRule="atLeast"/>
        </w:trPr>
        <w:tc>
          <w:tcPr>
            <w:tcW w:w="2321" w:type="dxa"/>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Arial"/>
                <w:color w:val="auto"/>
                <w:sz w:val="22"/>
                <w:szCs w:val="22"/>
                <w:lang w:val="en-GB"/>
              </w:rPr>
            </w:pPr>
            <w:r>
              <w:rPr>
                <w:rFonts w:eastAsia="Times New Roman" w:cs="Arial"/>
                <w:color w:val="auto"/>
                <w:sz w:val="22"/>
                <w:szCs w:val="22"/>
                <w:lang w:val="en-GB"/>
              </w:rPr>
            </w:r>
          </w:p>
        </w:tc>
        <w:tc>
          <w:tcPr>
            <w:tcW w:w="2220"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rPr>
                <w:rFonts w:ascii="Arial" w:hAnsi="Arial"/>
                <w:sz w:val="20"/>
                <w:szCs w:val="20"/>
              </w:rPr>
            </w:pPr>
            <w:r>
              <w:rPr>
                <w:sz w:val="22"/>
                <w:szCs w:val="22"/>
              </w:rPr>
              <w:t>5.2. Emprender, de forma guiada y de acuerdo a la metodología adecuada, proyectos científicos que involucren al alumnado en la mejora de la sociedad y que creen valor para el individuo y para la comunidad.</w:t>
            </w:r>
          </w:p>
        </w:tc>
        <w:tc>
          <w:tcPr>
            <w:tcW w:w="2401"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18"/>
                <w:szCs w:val="18"/>
              </w:rPr>
            </w:pPr>
            <w:r>
              <w:rPr>
                <w:rFonts w:eastAsia="Times New Roman" w:cs="Calibri" w:cstheme="minorHAnsi"/>
                <w:color w:val="auto"/>
                <w:sz w:val="22"/>
                <w:szCs w:val="22"/>
              </w:rPr>
              <w:t xml:space="preserve">5.2.1. Realizar un proyecto científico sobre los elementos químicos y la tabla periódica. </w:t>
            </w:r>
          </w:p>
        </w:tc>
        <w:tc>
          <w:tcPr>
            <w:tcW w:w="2242" w:type="dxa"/>
            <w:gridSpan w:val="2"/>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2065" w:hRule="atLeast"/>
        </w:trPr>
        <w:tc>
          <w:tcPr>
            <w:tcW w:w="2321" w:type="dxa"/>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18"/>
                <w:szCs w:val="18"/>
              </w:rPr>
            </w:pPr>
            <w:r>
              <w:rPr>
                <w:rFonts w:eastAsia="Times New Roman" w:cs="Calibri" w:cstheme="minorHAnsi"/>
                <w:b/>
                <w:color w:val="auto"/>
                <w:sz w:val="22"/>
                <w:szCs w:val="22"/>
              </w:rPr>
              <w:t>CE.FQ.6.</w:t>
            </w:r>
            <w:r>
              <w:rPr>
                <w:rFonts w:eastAsia="Times New Roman" w:cs="Calibri" w:cstheme="minorHAnsi"/>
                <w:color w:val="auto"/>
                <w:sz w:val="22"/>
                <w:szCs w:val="22"/>
              </w:rPr>
              <w:t xml:space="preserve"> </w:t>
            </w:r>
            <w:r>
              <w:rPr>
                <w:rFonts w:cs="Calibri" w:cstheme="minorHAnsi"/>
                <w:sz w:val="22"/>
                <w:szCs w:val="22"/>
              </w:rPr>
              <w:t>Comprender y valorar la ciencia como una construcción colectiva en continuo cambio y evolución, en la que no solo participan las personas dedicadas a la ciencia, sino que también requiere de una interacción con el resto de la sociedad, para obtener resultados que repercutan en el avance tecnológico, económico, ambiental y social.</w:t>
            </w:r>
          </w:p>
        </w:tc>
        <w:tc>
          <w:tcPr>
            <w:tcW w:w="2220"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rPr>
                <w:rFonts w:ascii="Arial" w:hAnsi="Arial"/>
                <w:sz w:val="20"/>
                <w:szCs w:val="20"/>
              </w:rPr>
            </w:pPr>
            <w:r>
              <w:rPr>
                <w:sz w:val="22"/>
                <w:szCs w:val="22"/>
              </w:rPr>
              <w:t>6.1. Reconocer y valorar, a través del análisis histórico de los avances científicos logrados por hombres y mujeres de ciencia, que la ciencia es un proceso en permanente construcción y las repercusiones mutuas de la ciencia actual con la tecnología, la sociedad y el medio ambiente.</w:t>
            </w:r>
          </w:p>
        </w:tc>
        <w:tc>
          <w:tcPr>
            <w:tcW w:w="2401"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Times New Roman" w:cs="Calibri" w:asciiTheme="minorHAnsi" w:cstheme="minorHAnsi" w:hAnsiTheme="minorHAnsi"/>
                <w:color w:val="auto"/>
                <w:sz w:val="18"/>
                <w:szCs w:val="18"/>
              </w:rPr>
            </w:pPr>
            <w:r>
              <w:rPr>
                <w:rFonts w:eastAsia="Times New Roman" w:cs="Calibri" w:cstheme="minorHAnsi"/>
                <w:color w:val="auto"/>
                <w:sz w:val="22"/>
                <w:szCs w:val="22"/>
              </w:rPr>
              <w:t xml:space="preserve">6.1.1. Valorar la aportación de los avances científicos históricos en la sociedad. </w:t>
            </w:r>
          </w:p>
        </w:tc>
        <w:tc>
          <w:tcPr>
            <w:tcW w:w="2242" w:type="dxa"/>
            <w:gridSpan w:val="2"/>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Arial" w:hAnsi="Arial" w:eastAsia="Times New Roman" w:cs="Arial"/>
                <w:color w:val="auto"/>
                <w:sz w:val="20"/>
                <w:szCs w:val="20"/>
                <w:lang w:val="en-GB"/>
              </w:rPr>
            </w:pPr>
            <w:r>
              <w:rPr>
                <w:sz w:val="22"/>
                <w:szCs w:val="22"/>
                <w:lang w:val="en-GB"/>
              </w:rPr>
              <w:t>STEM2, STEM5, CD4, CPSAA1, CPSAA4, CC4, CCEC1.</w:t>
            </w:r>
          </w:p>
        </w:tc>
      </w:tr>
      <w:tr>
        <w:trPr>
          <w:trHeight w:val="418" w:hRule="atLeast"/>
        </w:trPr>
        <w:tc>
          <w:tcPr>
            <w:tcW w:w="6949" w:type="dxa"/>
            <w:gridSpan w:val="4"/>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Saberes básicos</w:t>
            </w:r>
          </w:p>
        </w:tc>
        <w:tc>
          <w:tcPr>
            <w:tcW w:w="2235"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652" w:hRule="atLeast"/>
        </w:trPr>
        <w:tc>
          <w:tcPr>
            <w:tcW w:w="9184" w:type="dxa"/>
            <w:gridSpan w:val="5"/>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Arial" w:hAnsi="Arial" w:eastAsia="Times New Roman" w:cs="Arial"/>
                <w:color w:val="auto"/>
                <w:sz w:val="20"/>
                <w:szCs w:val="20"/>
              </w:rPr>
            </w:pPr>
            <w:r>
              <w:rPr>
                <w:rFonts w:eastAsia="Times New Roman" w:cs="Calibri" w:cstheme="minorHAnsi"/>
                <w:b/>
                <w:color w:val="auto"/>
                <w:sz w:val="22"/>
                <w:szCs w:val="22"/>
              </w:rPr>
              <w:t>B. La materia.</w:t>
            </w:r>
            <w:r>
              <w:rPr>
                <w:rFonts w:eastAsia="Times New Roman" w:cs="Calibri" w:cstheme="minorHAnsi"/>
                <w:color w:val="auto"/>
                <w:sz w:val="22"/>
                <w:szCs w:val="22"/>
              </w:rPr>
              <w:t xml:space="preserve"> </w:t>
            </w:r>
            <w:r>
              <w:rPr>
                <w:sz w:val="22"/>
                <w:szCs w:val="22"/>
              </w:rPr>
              <w:t>Ordenación de los elementos en la tabla periódica. Compuestos químicos: formación y propiedades. Formulación y nomenclatura utilizando normas IUPAC.</w:t>
            </w:r>
          </w:p>
        </w:tc>
      </w:tr>
    </w:tbl>
    <w:p>
      <w:pPr>
        <w:pStyle w:val="Normal"/>
        <w:jc w:val="both"/>
        <w:rPr>
          <w:rFonts w:ascii="Calibri" w:hAnsi="Calibri" w:eastAsia="Cambria" w:cs="Cambria"/>
          <w:b/>
          <w:b/>
          <w:sz w:val="22"/>
          <w:szCs w:val="22"/>
          <w:u w:val="single"/>
        </w:rPr>
      </w:pPr>
      <w:r>
        <w:rPr>
          <w:rFonts w:eastAsia="Cambria" w:cs="Cambria"/>
          <w:b/>
          <w:sz w:val="22"/>
          <w:szCs w:val="22"/>
          <w:u w:val="single"/>
        </w:rPr>
      </w:r>
    </w:p>
    <w:tbl>
      <w:tblPr>
        <w:tblW w:w="9185" w:type="dxa"/>
        <w:jc w:val="left"/>
        <w:tblInd w:w="137" w:type="dxa"/>
        <w:tblCellMar>
          <w:top w:w="144" w:type="dxa"/>
          <w:left w:w="144" w:type="dxa"/>
          <w:bottom w:w="144" w:type="dxa"/>
          <w:right w:w="144" w:type="dxa"/>
        </w:tblCellMar>
        <w:tblLook w:firstRow="0" w:noVBand="1" w:lastRow="0" w:firstColumn="0" w:lastColumn="0" w:noHBand="1" w:val="0600"/>
      </w:tblPr>
      <w:tblGrid>
        <w:gridCol w:w="2400"/>
        <w:gridCol w:w="2209"/>
        <w:gridCol w:w="2254"/>
        <w:gridCol w:w="2"/>
        <w:gridCol w:w="2319"/>
      </w:tblGrid>
      <w:tr>
        <w:trPr>
          <w:trHeight w:val="545" w:hRule="atLeast"/>
        </w:trPr>
        <w:tc>
          <w:tcPr>
            <w:tcW w:w="6865"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UD 6: REACCIONES QUÍMICAS</w:t>
            </w:r>
          </w:p>
        </w:tc>
        <w:tc>
          <w:tcPr>
            <w:tcW w:w="2319"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414" w:hRule="atLeast"/>
        </w:trPr>
        <w:tc>
          <w:tcPr>
            <w:tcW w:w="6865" w:type="dxa"/>
            <w:gridSpan w:val="4"/>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EVALUACIÓN: 3ª</w:t>
            </w:r>
          </w:p>
        </w:tc>
        <w:tc>
          <w:tcPr>
            <w:tcW w:w="2319" w:type="dxa"/>
            <w:tcBorders>
              <w:top w:val="single" w:sz="6" w:space="0" w:color="9E9E9E"/>
              <w:left w:val="single" w:sz="6" w:space="0" w:color="9E9E9E"/>
              <w:bottom w:val="single" w:sz="6" w:space="0" w:color="9E9E9E"/>
              <w:right w:val="single" w:sz="6" w:space="0" w:color="9E9E9E"/>
            </w:tcBorders>
            <w:shd w:color="auto" w:fill="8EAADB" w:val="clear"/>
            <w:vAlign w:val="center"/>
          </w:tcPr>
          <w:p>
            <w:pPr>
              <w:pStyle w:val="Normal"/>
              <w:spacing w:lineRule="auto" w:line="240" w:before="0" w:after="0"/>
              <w:jc w:val="center"/>
              <w:rPr>
                <w:rFonts w:ascii="Calibri" w:hAnsi="Calibri" w:eastAsia="Times New Roman" w:cs="Calibri" w:cstheme="minorHAnsi"/>
                <w:color w:val="auto"/>
                <w:sz w:val="22"/>
                <w:szCs w:val="22"/>
              </w:rPr>
            </w:pPr>
            <w:r>
              <w:rPr>
                <w:rFonts w:eastAsia="Times New Roman" w:cs="Calibri" w:cstheme="minorHAnsi"/>
                <w:color w:val="auto"/>
                <w:sz w:val="22"/>
                <w:szCs w:val="22"/>
              </w:rPr>
            </w:r>
          </w:p>
        </w:tc>
      </w:tr>
      <w:tr>
        <w:trPr>
          <w:trHeight w:val="964" w:hRule="atLeast"/>
        </w:trPr>
        <w:tc>
          <w:tcPr>
            <w:tcW w:w="2400"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Competencias específicas</w:t>
            </w:r>
          </w:p>
        </w:tc>
        <w:tc>
          <w:tcPr>
            <w:tcW w:w="2209"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Criterios de evaluación</w:t>
            </w:r>
          </w:p>
        </w:tc>
        <w:tc>
          <w:tcPr>
            <w:tcW w:w="2254"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Concreción de los criterios de evaluación</w:t>
            </w:r>
          </w:p>
        </w:tc>
        <w:tc>
          <w:tcPr>
            <w:tcW w:w="2321" w:type="dxa"/>
            <w:gridSpan w:val="2"/>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Descriptores del perfil de salida</w:t>
            </w:r>
          </w:p>
        </w:tc>
      </w:tr>
      <w:tr>
        <w:trPr>
          <w:trHeight w:val="2465" w:hRule="atLeast"/>
        </w:trPr>
        <w:tc>
          <w:tcPr>
            <w:tcW w:w="2400"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18"/>
                <w:szCs w:val="18"/>
              </w:rPr>
            </w:pPr>
            <w:r>
              <w:rPr>
                <w:rFonts w:cs="Calibri" w:cstheme="minorHAnsi"/>
                <w:b/>
                <w:sz w:val="22"/>
                <w:szCs w:val="22"/>
              </w:rPr>
              <w:t>CE.FQ.2.</w:t>
            </w:r>
            <w:r>
              <w:rPr>
                <w:rFonts w:cs="Calibri" w:cstheme="minorHAnsi"/>
                <w:sz w:val="22"/>
                <w:szCs w:val="22"/>
              </w:rPr>
              <w:t xml:space="preserve"> Expresar las observaciones realizadas por el alumnado en forma de preguntas, formulando hipótesis para explicarlas y demostrando dichas hipótesis a través de la experimentación científica, la indagación y la búsqueda de evidencias, para desarrollar los razonamientos propios del pensamiento científico y mejorar las destrezas en el uso de las metodologías científicas.</w:t>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rPr>
                <w:rFonts w:ascii="Arial" w:hAnsi="Arial"/>
                <w:sz w:val="20"/>
                <w:szCs w:val="20"/>
              </w:rPr>
            </w:pPr>
            <w:r>
              <w:rPr>
                <w:sz w:val="22"/>
                <w:szCs w:val="22"/>
              </w:rPr>
              <w:t>2.3. Aplicar las leyes y teorías científicas conocidas al formular cuestiones e hipótesis, siendo coherente con el conocimiento científico existente y diseñando los procedimientos experimentales o deductivos necesarios para resolverlas o comprobarlas.</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18"/>
                <w:szCs w:val="18"/>
              </w:rPr>
            </w:pPr>
            <w:r>
              <w:rPr>
                <w:rFonts w:eastAsia="Times New Roman" w:cs="Calibri" w:cstheme="minorHAnsi"/>
                <w:color w:val="auto"/>
                <w:sz w:val="22"/>
                <w:szCs w:val="22"/>
              </w:rPr>
              <w:t xml:space="preserve">2.3.1. </w:t>
            </w:r>
          </w:p>
        </w:tc>
        <w:tc>
          <w:tcPr>
            <w:tcW w:w="2321" w:type="dxa"/>
            <w:gridSpan w:val="2"/>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asciiTheme="minorHAnsi" w:cstheme="minorHAnsi" w:hAnsiTheme="minorHAnsi"/>
                <w:sz w:val="18"/>
                <w:szCs w:val="18"/>
                <w:lang w:val="en-GB"/>
              </w:rPr>
            </w:pPr>
            <w:r>
              <w:rPr>
                <w:rFonts w:cs="Calibri" w:cstheme="minorHAnsi"/>
                <w:sz w:val="22"/>
                <w:szCs w:val="22"/>
                <w:lang w:val="en-GB"/>
              </w:rPr>
              <w:t>CCL1, CCL3, STEM1, STEM2, CD1, CPSAA4, CE1, CCEC3.</w:t>
            </w:r>
          </w:p>
        </w:tc>
      </w:tr>
      <w:tr>
        <w:trPr>
          <w:trHeight w:val="2465" w:hRule="atLeast"/>
        </w:trPr>
        <w:tc>
          <w:tcPr>
            <w:tcW w:w="2400" w:type="dxa"/>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asciiTheme="minorHAnsi" w:cstheme="minorHAnsi" w:hAnsiTheme="minorHAnsi"/>
                <w:b/>
                <w:b/>
                <w:sz w:val="18"/>
                <w:szCs w:val="18"/>
              </w:rPr>
            </w:pPr>
            <w:r>
              <w:rPr>
                <w:b/>
                <w:sz w:val="22"/>
                <w:szCs w:val="22"/>
              </w:rPr>
              <w:t>CE.FQ.3.</w:t>
            </w:r>
            <w:r>
              <w:rPr>
                <w:sz w:val="22"/>
                <w:szCs w:val="22"/>
              </w:rPr>
              <w:t xml:space="preserve"> Manejar con soltura las reglas y normas básicas de la física y la química en lo referente al lenguaje de la IUPAC, al lenguaje matemático, al empleo de unidades de medida correctas, al uso seguro del laboratorio y a la interpretación y producción de datos e información en diferentes formatos y fuentes, para reconocer el carácter universal y transversal del lenguaje científico y la necesidad de una comunicación fiable en investigación y ciencia entre diferentes países y culturas.</w:t>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rFonts w:ascii="Arial" w:hAnsi="Arial"/>
                <w:sz w:val="20"/>
                <w:szCs w:val="20"/>
              </w:rPr>
            </w:pPr>
            <w:r>
              <w:rPr>
                <w:sz w:val="22"/>
                <w:szCs w:val="22"/>
              </w:rPr>
              <w:t>3.1. Emplear datos en diferentes formatos para interpretar y comunicar información relativa a un proceso fisicoquímico concreto, relacionando entre sí lo que cada uno de ellos contiene, y extrayendo en cada caso lo más relevante para la resolución de un problema.</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Times New Roman" w:cs="Calibri" w:asciiTheme="minorHAnsi" w:cstheme="minorHAnsi" w:hAnsiTheme="minorHAnsi"/>
                <w:color w:val="auto"/>
                <w:sz w:val="18"/>
                <w:szCs w:val="18"/>
              </w:rPr>
            </w:pPr>
            <w:r>
              <w:rPr>
                <w:rFonts w:eastAsia="Times New Roman" w:cs="Calibri" w:cstheme="minorHAnsi"/>
                <w:color w:val="auto"/>
                <w:sz w:val="22"/>
                <w:szCs w:val="22"/>
              </w:rPr>
              <w:t xml:space="preserve">3.1.2. Extraer información relevante de ecuaciones químicas y diagramas. </w:t>
            </w:r>
          </w:p>
        </w:tc>
        <w:tc>
          <w:tcPr>
            <w:tcW w:w="2321" w:type="dxa"/>
            <w:gridSpan w:val="2"/>
            <w:vMerge w:val="restart"/>
            <w:tcBorders>
              <w:top w:val="single" w:sz="6" w:space="0" w:color="9E9E9E"/>
              <w:left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asciiTheme="minorHAnsi" w:cstheme="minorHAnsi" w:hAnsiTheme="minorHAnsi"/>
                <w:sz w:val="18"/>
                <w:szCs w:val="18"/>
                <w:lang w:val="en-GB"/>
              </w:rPr>
            </w:pPr>
            <w:r>
              <w:rPr>
                <w:sz w:val="22"/>
                <w:szCs w:val="22"/>
                <w:lang w:val="en-GB"/>
              </w:rPr>
              <w:t>STEM4, STEM5, CD3, CPSAA2, CC1, CCEC2, CCEC4.</w:t>
            </w:r>
          </w:p>
        </w:tc>
      </w:tr>
      <w:tr>
        <w:trPr>
          <w:trHeight w:val="2465" w:hRule="atLeast"/>
        </w:trPr>
        <w:tc>
          <w:tcPr>
            <w:tcW w:w="2400" w:type="dxa"/>
            <w:vMerge w:val="continue"/>
            <w:tcBorders>
              <w:left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cstheme="minorHAnsi"/>
                <w:b/>
                <w:b/>
                <w:sz w:val="22"/>
                <w:szCs w:val="22"/>
                <w:lang w:val="en-GB"/>
              </w:rPr>
            </w:pPr>
            <w:r>
              <w:rPr>
                <w:rFonts w:cs="Calibri" w:cstheme="minorHAnsi"/>
                <w:b/>
                <w:sz w:val="22"/>
                <w:szCs w:val="22"/>
                <w:lang w:val="en-GB"/>
              </w:rPr>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rFonts w:ascii="Arial" w:hAnsi="Arial"/>
                <w:sz w:val="20"/>
                <w:szCs w:val="20"/>
              </w:rPr>
            </w:pPr>
            <w:r>
              <w:rPr>
                <w:sz w:val="22"/>
                <w:szCs w:val="22"/>
              </w:rPr>
              <w:t>3.2. Utilizar adecuadamente las reglas básicas de la física y la química, incluyendo el uso de unidades de medida, las herramientas matemáticas y las reglas de nomenclatura, consiguiendo una comunicación efectiva con toda la comunidad científica.</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Arial Narrow" w:cs="Calibri" w:asciiTheme="minorHAnsi" w:cstheme="minorHAnsi" w:hAnsiTheme="minorHAnsi"/>
                <w:bCs/>
                <w:color w:val="000000"/>
                <w:sz w:val="18"/>
                <w:szCs w:val="18"/>
              </w:rPr>
            </w:pPr>
            <w:r>
              <w:rPr>
                <w:rFonts w:eastAsia="Arial Narrow" w:cs="Calibri" w:cstheme="minorHAnsi"/>
                <w:bCs/>
                <w:color w:val="000000"/>
                <w:sz w:val="22"/>
                <w:szCs w:val="22"/>
              </w:rPr>
              <w:t xml:space="preserve">3.2.1. Usar correctamente las unidades de medida y las herramientas matemáticas en la resolución de problemas.  </w:t>
            </w:r>
          </w:p>
        </w:tc>
        <w:tc>
          <w:tcPr>
            <w:tcW w:w="2321" w:type="dxa"/>
            <w:gridSpan w:val="2"/>
            <w:vMerge w:val="continue"/>
            <w:tcBorders>
              <w:left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cstheme="minorHAnsi"/>
                <w:sz w:val="22"/>
                <w:szCs w:val="22"/>
              </w:rPr>
            </w:pPr>
            <w:r>
              <w:rPr>
                <w:rFonts w:cs="Calibri" w:cstheme="minorHAnsi"/>
                <w:sz w:val="22"/>
                <w:szCs w:val="22"/>
              </w:rPr>
            </w:r>
          </w:p>
        </w:tc>
      </w:tr>
      <w:tr>
        <w:trPr>
          <w:trHeight w:val="2465" w:hRule="atLeast"/>
        </w:trPr>
        <w:tc>
          <w:tcPr>
            <w:tcW w:w="2400" w:type="dxa"/>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b/>
                <w:b/>
                <w:sz w:val="22"/>
                <w:szCs w:val="22"/>
              </w:rPr>
            </w:pPr>
            <w:r>
              <w:rPr>
                <w:b/>
                <w:sz w:val="22"/>
                <w:szCs w:val="22"/>
              </w:rPr>
            </w:r>
          </w:p>
        </w:tc>
        <w:tc>
          <w:tcPr>
            <w:tcW w:w="2209"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DC1"/>
              <w:jc w:val="left"/>
              <w:rPr>
                <w:rFonts w:ascii="Arial" w:hAnsi="Arial"/>
                <w:sz w:val="20"/>
                <w:szCs w:val="20"/>
              </w:rPr>
            </w:pPr>
            <w:r>
              <w:rPr>
                <w:sz w:val="22"/>
                <w:szCs w:val="22"/>
              </w:rPr>
              <w:t>3.3. Poner en práctica las normas de uso de los espacios específicos de la ciencia, como el laboratorio de Física y Química, asegurando la salud propia y colectiva, la conservación sostenible del medio ambiente y el cuidado de las instalaciones.</w:t>
            </w:r>
          </w:p>
        </w:tc>
        <w:tc>
          <w:tcPr>
            <w:tcW w:w="2254" w:type="dxa"/>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rPr>
                <w:rFonts w:ascii="Calibri" w:hAnsi="Calibri" w:eastAsia="Arial Narrow" w:cs="Calibri" w:asciiTheme="minorHAnsi" w:cstheme="minorHAnsi" w:hAnsiTheme="minorHAnsi"/>
                <w:bCs/>
                <w:color w:val="000000"/>
                <w:sz w:val="18"/>
                <w:szCs w:val="18"/>
              </w:rPr>
            </w:pPr>
            <w:r>
              <w:rPr>
                <w:rFonts w:eastAsia="Arial Narrow" w:cs="Calibri" w:cstheme="minorHAnsi"/>
                <w:bCs/>
                <w:color w:val="000000"/>
                <w:sz w:val="22"/>
                <w:szCs w:val="22"/>
              </w:rPr>
              <w:t xml:space="preserve">3.3.2. Realizar prácticas de laboratorio respetando las normas de seguridad y cuidando las instalaciones. </w:t>
            </w:r>
          </w:p>
        </w:tc>
        <w:tc>
          <w:tcPr>
            <w:tcW w:w="2321" w:type="dxa"/>
            <w:gridSpan w:val="2"/>
            <w:vMerge w:val="continue"/>
            <w:tcBorders>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cs="Calibri" w:cstheme="minorHAnsi"/>
                <w:sz w:val="22"/>
                <w:szCs w:val="22"/>
              </w:rPr>
            </w:pPr>
            <w:r>
              <w:rPr>
                <w:rFonts w:cs="Calibri" w:cstheme="minorHAnsi"/>
                <w:sz w:val="22"/>
                <w:szCs w:val="22"/>
              </w:rPr>
            </w:r>
          </w:p>
        </w:tc>
      </w:tr>
      <w:tr>
        <w:trPr>
          <w:trHeight w:val="418" w:hRule="atLeast"/>
        </w:trPr>
        <w:tc>
          <w:tcPr>
            <w:tcW w:w="6865" w:type="dxa"/>
            <w:gridSpan w:val="4"/>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4"/>
                <w:szCs w:val="24"/>
              </w:rPr>
            </w:pPr>
            <w:r>
              <w:rPr>
                <w:rFonts w:eastAsia="Arial Narrow" w:cs="Calibri" w:cstheme="minorHAnsi"/>
                <w:b/>
                <w:bCs/>
                <w:color w:val="000000"/>
                <w:sz w:val="22"/>
                <w:szCs w:val="22"/>
              </w:rPr>
              <w:t>Saberes básicos</w:t>
            </w:r>
          </w:p>
        </w:tc>
        <w:tc>
          <w:tcPr>
            <w:tcW w:w="2319" w:type="dxa"/>
            <w:tcBorders>
              <w:top w:val="single" w:sz="6" w:space="0" w:color="9E9E9E"/>
              <w:left w:val="single" w:sz="6" w:space="0" w:color="9E9E9E"/>
              <w:bottom w:val="single" w:sz="6" w:space="0" w:color="9E9E9E"/>
              <w:right w:val="single" w:sz="6" w:space="0" w:color="9E9E9E"/>
            </w:tcBorders>
            <w:shd w:color="auto" w:fill="DEEBF6" w:val="clear"/>
            <w:vAlign w:val="center"/>
          </w:tcPr>
          <w:p>
            <w:pPr>
              <w:pStyle w:val="Normal"/>
              <w:spacing w:lineRule="auto" w:line="240" w:before="0" w:after="0"/>
              <w:jc w:val="center"/>
              <w:rPr>
                <w:rFonts w:ascii="Calibri" w:hAnsi="Calibri" w:eastAsia="Times New Roman" w:cs="Arial"/>
                <w:color w:val="auto"/>
                <w:sz w:val="22"/>
                <w:szCs w:val="22"/>
              </w:rPr>
            </w:pPr>
            <w:r>
              <w:rPr>
                <w:rFonts w:eastAsia="Times New Roman" w:cs="Arial"/>
                <w:color w:val="auto"/>
                <w:sz w:val="22"/>
                <w:szCs w:val="22"/>
              </w:rPr>
            </w:r>
          </w:p>
        </w:tc>
      </w:tr>
      <w:tr>
        <w:trPr>
          <w:trHeight w:val="652" w:hRule="atLeast"/>
        </w:trPr>
        <w:tc>
          <w:tcPr>
            <w:tcW w:w="9184" w:type="dxa"/>
            <w:gridSpan w:val="5"/>
            <w:tcBorders>
              <w:top w:val="single" w:sz="6" w:space="0" w:color="9E9E9E"/>
              <w:left w:val="single" w:sz="6" w:space="0" w:color="9E9E9E"/>
              <w:bottom w:val="single" w:sz="6" w:space="0" w:color="9E9E9E"/>
              <w:right w:val="single" w:sz="6" w:space="0" w:color="9E9E9E"/>
            </w:tcBorders>
            <w:shd w:color="auto" w:fill="auto" w:val="clear"/>
            <w:vAlign w:val="center"/>
          </w:tcPr>
          <w:p>
            <w:pPr>
              <w:pStyle w:val="Normal"/>
              <w:spacing w:lineRule="auto" w:line="240" w:before="0" w:after="0"/>
              <w:jc w:val="center"/>
              <w:rPr>
                <w:rFonts w:ascii="Calibri" w:hAnsi="Calibri" w:eastAsia="Times New Roman" w:cs="Calibri" w:asciiTheme="minorHAnsi" w:cstheme="minorHAnsi" w:hAnsiTheme="minorHAnsi"/>
                <w:color w:val="auto"/>
                <w:sz w:val="20"/>
                <w:szCs w:val="20"/>
              </w:rPr>
            </w:pPr>
            <w:r>
              <w:rPr>
                <w:rFonts w:eastAsia="Times New Roman" w:cs="Calibri" w:cstheme="minorHAnsi"/>
                <w:b/>
                <w:color w:val="auto"/>
                <w:sz w:val="22"/>
                <w:szCs w:val="22"/>
              </w:rPr>
              <w:t>E. El cambio.</w:t>
            </w:r>
            <w:r>
              <w:rPr>
                <w:rFonts w:eastAsia="Times New Roman" w:cs="Calibri" w:cstheme="minorHAnsi"/>
                <w:color w:val="auto"/>
                <w:sz w:val="22"/>
                <w:szCs w:val="22"/>
              </w:rPr>
              <w:t xml:space="preserve"> </w:t>
            </w:r>
            <w:r>
              <w:rPr>
                <w:rFonts w:cs="Calibri" w:cstheme="minorHAnsi"/>
                <w:color w:val="000000"/>
                <w:sz w:val="22"/>
                <w:szCs w:val="22"/>
              </w:rPr>
              <w:t>Este bloque aborda los diferentes cambios de los sistemas materiales a nivel macroscópico y microscópico, analizando los aspectos energéticos y las leyes que los rigen.</w:t>
            </w:r>
          </w:p>
        </w:tc>
      </w:tr>
    </w:tbl>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rFonts w:ascii="Cambria" w:hAnsi="Cambria" w:eastAsia="Cambria" w:cs="Cambria"/>
          <w:b/>
          <w:b/>
          <w:u w:val="single"/>
        </w:rPr>
      </w:pPr>
      <w:r>
        <w:rPr>
          <w:rFonts w:eastAsia="Cambria" w:cs="Cambria"/>
          <w:b/>
          <w:sz w:val="22"/>
          <w:szCs w:val="22"/>
          <w:u w:val="single"/>
        </w:rPr>
        <w:t>3. PROCEDIMIENTOS E INSTRUMENTOS DE EVALUACIÓN</w:t>
      </w:r>
    </w:p>
    <w:p>
      <w:pPr>
        <w:pStyle w:val="Cuerpodetexto"/>
        <w:jc w:val="both"/>
        <w:rPr>
          <w:rFonts w:ascii="Calibri;sans-serif" w:hAnsi="Calibri;sans-serif"/>
          <w:b w:val="false"/>
          <w:b w:val="false"/>
          <w:i w:val="false"/>
          <w:i w:val="false"/>
          <w:caps w:val="false"/>
          <w:smallCaps w:val="false"/>
          <w:strike w:val="false"/>
          <w:dstrike w:val="false"/>
          <w:color w:val="000000"/>
          <w:sz w:val="22"/>
          <w:u w:val="none"/>
          <w:effect w:val="none"/>
        </w:rPr>
      </w:pPr>
      <w:bookmarkStart w:id="1" w:name="docs-internal-guid-a050135c-7fff-6dd4-d8"/>
      <w:bookmarkEnd w:id="1"/>
      <w:r>
        <w:rPr>
          <w:rFonts w:ascii="Cambria" w:hAnsi="Cambria" w:asciiTheme="majorHAnsi" w:hAnsiTheme="majorHAnsi"/>
          <w:b w:val="false"/>
          <w:bCs/>
          <w:i w:val="false"/>
          <w:caps w:val="false"/>
          <w:smallCaps w:val="false"/>
          <w:strike w:val="false"/>
          <w:dstrike w:val="false"/>
          <w:color w:val="000000"/>
          <w:sz w:val="22"/>
          <w:szCs w:val="22"/>
          <w:u w:val="none"/>
          <w:effect w:val="none"/>
        </w:rPr>
        <w:t>Tal y como establece la Orden ECD/1172/2022 en su Artículo 13: </w:t>
      </w:r>
    </w:p>
    <w:p>
      <w:pPr>
        <w:pStyle w:val="Cuerpodetexto"/>
        <w:bidi w:val="0"/>
        <w:spacing w:lineRule="auto" w:line="288" w:before="0" w:after="0"/>
        <w:ind w:left="57" w:right="0" w:hanging="0"/>
        <w:jc w:val="both"/>
        <w:rPr>
          <w:rFonts w:ascii="Calibri;sans-serif" w:hAnsi="Calibri;sans-serif"/>
          <w:b w:val="false"/>
          <w:b w:val="false"/>
          <w:i/>
          <w:i/>
          <w:caps w:val="false"/>
          <w:smallCaps w:val="false"/>
          <w:strike w:val="false"/>
          <w:dstrike w:val="false"/>
          <w:color w:val="000000"/>
          <w:sz w:val="22"/>
          <w:u w:val="none"/>
          <w:effect w:val="none"/>
        </w:rPr>
      </w:pPr>
      <w:r>
        <w:rPr>
          <w:rFonts w:ascii="Calibri;sans-serif" w:hAnsi="Calibri;sans-serif"/>
          <w:b w:val="false"/>
          <w:i/>
          <w:caps w:val="false"/>
          <w:smallCaps w:val="false"/>
          <w:strike w:val="false"/>
          <w:dstrike w:val="false"/>
          <w:color w:val="000000"/>
          <w:sz w:val="22"/>
          <w:u w:val="none"/>
          <w:effect w:val="none"/>
        </w:rPr>
        <w:t>Los referentes para la comprobación del grado de adquisición de las competencias clave y el logro de los objetivos de la etapa serán los criterios de evaluación de las diferentes materias asociados a las competencias específicas. Dichos criterios de evaluación, actúan como puente entre las competencias específicas y los descriptores operativos del grado de desarrollo de las competencias clave relacionados en el Perfil de salida.</w:t>
      </w:r>
    </w:p>
    <w:p>
      <w:pPr>
        <w:pStyle w:val="Cuerpodetexto"/>
        <w:rPr/>
      </w:pPr>
      <w:r>
        <w:rPr/>
      </w:r>
    </w:p>
    <w:p>
      <w:pPr>
        <w:pStyle w:val="Cuerpodetexto"/>
        <w:bidi w:val="0"/>
        <w:spacing w:lineRule="auto" w:line="288" w:before="0" w:after="0"/>
        <w:ind w:left="57"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Del mismo modo, en el Artículo 14 de dicha Orden se establece que: </w:t>
      </w:r>
    </w:p>
    <w:p>
      <w:pPr>
        <w:pStyle w:val="Cuerpodetexto"/>
        <w:bidi w:val="0"/>
        <w:spacing w:lineRule="auto" w:line="288" w:before="0" w:after="0"/>
        <w:ind w:left="57" w:right="0" w:hanging="0"/>
        <w:jc w:val="both"/>
        <w:rPr>
          <w:rFonts w:ascii="Calibri;sans-serif" w:hAnsi="Calibri;sans-serif"/>
          <w:b w:val="false"/>
          <w:b w:val="false"/>
          <w:i/>
          <w:i/>
          <w:caps w:val="false"/>
          <w:smallCaps w:val="false"/>
          <w:strike w:val="false"/>
          <w:dstrike w:val="false"/>
          <w:color w:val="000000"/>
          <w:sz w:val="22"/>
          <w:u w:val="none"/>
          <w:effect w:val="none"/>
        </w:rPr>
      </w:pPr>
      <w:r>
        <w:rPr>
          <w:rFonts w:ascii="Calibri;sans-serif" w:hAnsi="Calibri;sans-serif"/>
          <w:b w:val="false"/>
          <w:i/>
          <w:caps w:val="false"/>
          <w:smallCaps w:val="false"/>
          <w:strike w:val="false"/>
          <w:dstrike w:val="false"/>
          <w:color w:val="000000"/>
          <w:sz w:val="22"/>
          <w:u w:val="none"/>
          <w:effect w:val="none"/>
        </w:rPr>
        <w:t>La evaluación del alumnado será integradora, continua y formativa, y tendrá en cuenta el grado de desarrollo de las competencias clave y su progreso en el conjunto de los procesos de aprendizaje.</w:t>
      </w:r>
    </w:p>
    <w:p>
      <w:pPr>
        <w:pStyle w:val="Cuerpodetexto"/>
        <w:rPr/>
      </w:pPr>
      <w:r>
        <w:rPr/>
      </w:r>
    </w:p>
    <w:p>
      <w:pPr>
        <w:pStyle w:val="Cuerpodetexto"/>
        <w:bidi w:val="0"/>
        <w:spacing w:lineRule="auto" w:line="288" w:before="0" w:after="0"/>
        <w:ind w:left="57" w:right="0" w:hanging="0"/>
        <w:jc w:val="both"/>
        <w:rPr>
          <w:rFonts w:ascii="Calibri;sans-serif" w:hAnsi="Calibri;sans-serif"/>
          <w:b w:val="false"/>
          <w:b w:val="false"/>
          <w:i/>
          <w:i/>
          <w:caps w:val="false"/>
          <w:smallCaps w:val="false"/>
          <w:strike w:val="false"/>
          <w:dstrike w:val="false"/>
          <w:color w:val="000000"/>
          <w:sz w:val="22"/>
          <w:u w:val="none"/>
          <w:effect w:val="none"/>
        </w:rPr>
      </w:pPr>
      <w:r>
        <w:rPr>
          <w:rFonts w:ascii="Calibri;sans-serif" w:hAnsi="Calibri;sans-serif"/>
          <w:b w:val="false"/>
          <w:i/>
          <w:caps w:val="false"/>
          <w:smallCaps w:val="false"/>
          <w:strike w:val="false"/>
          <w:dstrike w:val="false"/>
          <w:color w:val="000000"/>
          <w:sz w:val="22"/>
          <w:u w:val="none"/>
          <w:effect w:val="none"/>
        </w:rPr>
        <w:t>En el contexto del proceso de evaluación continua, cuando el progreso del alumnado no sea el adecuado, se establecerán las medidas de refuerzo educativo. Estas medidas deberán adoptarse tan pronto se detecten las dificultades y estarán dirigidas a garantizar la adquisición de los aprendizajes imprescindibles para continuar el proceso educativo. El profesorado recogerá información de manera permanente acerca del proceso de enseñanza y de aprendizaje de su alumnado con especial atención a los objetivos, competencias específicas y criterios de evaluación. Los procedimientos e instrumentos de evaluación utilizados deberán permitir la constatación de los progresos realizados por cada alumno y por cada alumna, teniendo en cuenta su particular situación inicial y atendiendo a la diversidad de capacidades, actitudes y ritmos de aprendizaje.</w:t>
      </w:r>
    </w:p>
    <w:p>
      <w:pPr>
        <w:pStyle w:val="Cuerpodetexto"/>
        <w:rPr/>
      </w:pPr>
      <w:r>
        <w:rPr/>
      </w:r>
    </w:p>
    <w:p>
      <w:pPr>
        <w:pStyle w:val="Cuerpodetexto"/>
        <w:bidi w:val="0"/>
        <w:spacing w:lineRule="auto" w:line="288" w:before="0" w:after="0"/>
        <w:ind w:left="57"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Por tanto, en el contexto de la evaluación continua, cuando el progreso de un alumno no sea el adecuado, se establecerán medidas de refuerzo educativo para reorientar el proceso de enseñanza-aprendizaje de cara a la adquisición de las competencias clave al finalizar el curso. Estas medidas de refuerzo pueden adoptarse en cualquier momento del curso y sirven también como medida de atención a la diversidad de capacidades y estilos de aprendizaje del alumnado que constituye el grupo. Por tanto, esta evaluación se aplica durante el proceso didáctico y se basa en la observación de las actividades de aprendizaje que va realizando el alumno, por lo que no tiene como objetivo dar calificaciones sino mostrar al profesor (y al propio alumno) el grado de desarrollo de su aprendizaje. </w:t>
      </w:r>
    </w:p>
    <w:p>
      <w:pPr>
        <w:pStyle w:val="Cuerpodetexto"/>
        <w:rPr/>
      </w:pPr>
      <w:r>
        <w:rPr/>
      </w:r>
    </w:p>
    <w:p>
      <w:pPr>
        <w:pStyle w:val="Cuerpodetexto"/>
        <w:bidi w:val="0"/>
        <w:spacing w:lineRule="auto" w:line="288" w:before="0" w:after="0"/>
        <w:ind w:left="57"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La evaluación se entiende como un elemento formativo, ya que debe servir para que los alumnos/as sean conscientes de los errores que hayan cometido y puedan aprender de sus propios fallos, lo que contribuye a la competencia clave de aprender a aprender. En este sentido, cualquier instrumento de evaluación será mostrado al alumno con sus correcciones e indicaciones correspondientes que justifiquen la calificación y que sirvan de base para lograr aquellos objetivos que no se hayan logrado todavía.  </w:t>
      </w:r>
    </w:p>
    <w:p>
      <w:pPr>
        <w:pStyle w:val="Cuerpodetexto"/>
        <w:rPr/>
      </w:pPr>
      <w:r>
        <w:rPr/>
      </w:r>
    </w:p>
    <w:p>
      <w:pPr>
        <w:pStyle w:val="Cuerpodetexto"/>
        <w:bidi w:val="0"/>
        <w:spacing w:lineRule="auto" w:line="288" w:before="0" w:after="0"/>
        <w:ind w:left="57"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Mientras que la evaluación también tiene carácter integrador, ya que las diferentes materias de los diferentes cursos de la ESO deben contribuir a lograr los objetivos establecidos para la etapa de la ESO y el desarrollo de las competencias clave.  </w:t>
      </w:r>
    </w:p>
    <w:p>
      <w:pPr>
        <w:pStyle w:val="Cuerpodetexto"/>
        <w:rPr/>
      </w:pPr>
      <w:r>
        <w:rPr/>
      </w:r>
    </w:p>
    <w:p>
      <w:pPr>
        <w:pStyle w:val="Cuerpodetexto"/>
        <w:bidi w:val="0"/>
        <w:spacing w:lineRule="auto" w:line="288" w:before="0" w:after="0"/>
        <w:ind w:left="57"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En el marco de las competencias clave, la evaluación debe ser global, es decir, debe considerar no solo la capacidad de un alumno para resolver un problema modelo determinado, sino su capacidad para colaborar con otros alumnos en la resolución de una misma tarea, su expresión oral al explicar la resolución de un problema en la pizarra, etc. De este modo no solo se evalúan conocimientos sino también lo contemplado en las competencias clave. </w:t>
      </w:r>
    </w:p>
    <w:p>
      <w:pPr>
        <w:pStyle w:val="Cuerpodetexto"/>
        <w:rPr/>
      </w:pPr>
      <w:r>
        <w:rPr/>
      </w:r>
    </w:p>
    <w:p>
      <w:pPr>
        <w:pStyle w:val="Cuerpodetexto"/>
        <w:bidi w:val="0"/>
        <w:spacing w:lineRule="auto" w:line="288" w:before="0" w:after="0"/>
        <w:ind w:left="57"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Por último, los alumnos tienen derecho a ser evaluados con objetividad, de ahí que se publiquen a principio de curso los criterios de evaluación y los criterios de calificación de cada asignatura del departamento de Física y Química. En esta línea, todos los ejercicios o tareas tendrán asignado un peso determinado en la calificación del instrumento de evaluación que será conocido por el alumno/a. Además, se informará a los alumnos/as de que  en las pruebas escritas se pueden establecer una serie de penalizaciones (por ausencia de unidades en un resultado, por faltas de ortografía, por ausencia de las fórmulas, etc.). Por supuesto, el docente estará siempre a disposición del alumno para aclararle cualquier duda en la calificación de un instrumento de evaluación y para corregir cualquier error originado por el docente en la corrección. </w:t>
      </w:r>
    </w:p>
    <w:p>
      <w:pPr>
        <w:pStyle w:val="Cuerpodetexto"/>
        <w:rPr/>
      </w:pPr>
      <w:r>
        <w:rPr/>
      </w:r>
    </w:p>
    <w:p>
      <w:pPr>
        <w:pStyle w:val="Cuerpodetexto"/>
        <w:bidi w:val="0"/>
        <w:spacing w:lineRule="auto" w:line="288" w:before="0" w:after="0"/>
        <w:jc w:val="both"/>
        <w:rPr>
          <w:b w:val="false"/>
          <w:b w:val="false"/>
        </w:rPr>
      </w:pPr>
      <w:r>
        <w:rPr>
          <w:rFonts w:ascii="Calibri;sans-serif" w:hAnsi="Calibri;sans-serif"/>
          <w:b w:val="false"/>
          <w:i w:val="false"/>
          <w:caps w:val="false"/>
          <w:smallCaps w:val="false"/>
          <w:strike w:val="false"/>
          <w:dstrike w:val="false"/>
          <w:color w:val="000000"/>
          <w:sz w:val="22"/>
          <w:u w:val="none"/>
          <w:effect w:val="none"/>
        </w:rPr>
        <w:t>Para poder evaluar de forma global teniendo en cuenta las competencias clave es necesario recurrir a variados procedimientos de evaluación que se basan en diferentes instrumentos de evaluación. Tal y como establece la legislación</w:t>
      </w:r>
      <w:r>
        <w:rPr>
          <w:rFonts w:ascii="Calibri;sans-serif" w:hAnsi="Calibri;sans-serif"/>
          <w:b/>
          <w:i w:val="false"/>
          <w:caps w:val="false"/>
          <w:smallCaps w:val="false"/>
          <w:strike w:val="false"/>
          <w:dstrike w:val="false"/>
          <w:color w:val="000000"/>
          <w:sz w:val="22"/>
          <w:u w:val="none"/>
          <w:effect w:val="none"/>
        </w:rPr>
        <w:t xml:space="preserve">, </w:t>
      </w:r>
      <w:r>
        <w:rPr>
          <w:rFonts w:ascii="Calibri;sans-serif" w:hAnsi="Calibri;sans-serif"/>
          <w:b w:val="false"/>
          <w:i w:val="false"/>
          <w:caps w:val="false"/>
          <w:smallCaps w:val="false"/>
          <w:strike w:val="false"/>
          <w:dstrike w:val="false"/>
          <w:color w:val="000000"/>
          <w:sz w:val="22"/>
          <w:u w:val="none"/>
          <w:effect w:val="none"/>
        </w:rPr>
        <w:t>los referentes de la evaluación son los Criterios de Evaluación, por tanto, todos los elementos que intervienen en la evaluación estarán referidos a los Criterios de Evaluación.</w:t>
      </w:r>
    </w:p>
    <w:p>
      <w:pPr>
        <w:pStyle w:val="Cuerpodetexto"/>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En la siguiente tabla se muestran los procedimiento de evaluación que se van a utilizar en el curso académico.</w:t>
      </w:r>
    </w:p>
    <w:p>
      <w:pPr>
        <w:pStyle w:val="Cuerpodetexto"/>
        <w:rPr/>
      </w:pPr>
      <w:r>
        <w:rPr/>
      </w:r>
    </w:p>
    <w:p>
      <w:pPr>
        <w:pStyle w:val="Cuerpodetexto"/>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Los instrumentos de evaluación serán:</w:t>
      </w:r>
    </w:p>
    <w:p>
      <w:pPr>
        <w:pStyle w:val="Cuerpodetexto"/>
        <w:rPr/>
      </w:pPr>
      <w:r>
        <w:rPr/>
      </w:r>
    </w:p>
    <w:p>
      <w:pPr>
        <w:pStyle w:val="Cuerpodetexto"/>
        <w:numPr>
          <w:ilvl w:val="0"/>
          <w:numId w:val="10"/>
        </w:numPr>
        <w:tabs>
          <w:tab w:val="clear" w:pos="720"/>
          <w:tab w:val="left" w:pos="0" w:leader="none"/>
        </w:tabs>
        <w:bidi w:val="0"/>
        <w:spacing w:lineRule="auto" w:line="288" w:before="0" w:after="0"/>
        <w:ind w:left="707"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Pruebas objetivas (exámenes) en las que se plantean actividades, problemas numéricos y preguntas teóricas.</w:t>
      </w:r>
    </w:p>
    <w:p>
      <w:pPr>
        <w:pStyle w:val="Cuerpodetexto"/>
        <w:numPr>
          <w:ilvl w:val="0"/>
          <w:numId w:val="10"/>
        </w:numPr>
        <w:tabs>
          <w:tab w:val="clear" w:pos="720"/>
          <w:tab w:val="left" w:pos="0" w:leader="none"/>
        </w:tabs>
        <w:bidi w:val="0"/>
        <w:spacing w:lineRule="auto" w:line="288" w:before="0" w:after="0"/>
        <w:ind w:left="707"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Control de los deberes y del trabajo realizado en el aula.  Realización de ejercicios. Cuaderno y seguimiento. </w:t>
      </w:r>
    </w:p>
    <w:p>
      <w:pPr>
        <w:pStyle w:val="Cuerpodetexto"/>
        <w:numPr>
          <w:ilvl w:val="0"/>
          <w:numId w:val="10"/>
        </w:numPr>
        <w:tabs>
          <w:tab w:val="clear" w:pos="720"/>
          <w:tab w:val="left" w:pos="0" w:leader="none"/>
        </w:tabs>
        <w:bidi w:val="0"/>
        <w:spacing w:lineRule="auto" w:line="288" w:before="0" w:after="0"/>
        <w:ind w:left="707"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Planteamiento y resolución de actividades en clase, de forma oral o por escrito, por parte de los alumnos.</w:t>
      </w:r>
    </w:p>
    <w:p>
      <w:pPr>
        <w:pStyle w:val="Cuerpodetexto"/>
        <w:numPr>
          <w:ilvl w:val="0"/>
          <w:numId w:val="10"/>
        </w:numPr>
        <w:tabs>
          <w:tab w:val="clear" w:pos="720"/>
          <w:tab w:val="left" w:pos="0" w:leader="none"/>
        </w:tabs>
        <w:bidi w:val="0"/>
        <w:spacing w:lineRule="auto" w:line="288" w:before="0" w:after="0"/>
        <w:ind w:left="707"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Informes de laboratorio y resolución de cuestiones planteadas en el mismo sobre las prácticas que se realicen.</w:t>
      </w:r>
    </w:p>
    <w:p>
      <w:pPr>
        <w:pStyle w:val="Cuerpodetexto"/>
        <w:numPr>
          <w:ilvl w:val="0"/>
          <w:numId w:val="10"/>
        </w:numPr>
        <w:tabs>
          <w:tab w:val="clear" w:pos="720"/>
          <w:tab w:val="left" w:pos="0" w:leader="none"/>
        </w:tabs>
        <w:bidi w:val="0"/>
        <w:spacing w:lineRule="auto" w:line="288" w:before="0" w:after="0"/>
        <w:ind w:left="707"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Valoración de la participación en clase</w:t>
      </w:r>
    </w:p>
    <w:p>
      <w:pPr>
        <w:pStyle w:val="Cuerpodetexto"/>
        <w:numPr>
          <w:ilvl w:val="0"/>
          <w:numId w:val="10"/>
        </w:numPr>
        <w:tabs>
          <w:tab w:val="clear" w:pos="720"/>
          <w:tab w:val="left" w:pos="0" w:leader="none"/>
        </w:tabs>
        <w:bidi w:val="0"/>
        <w:spacing w:lineRule="auto" w:line="288" w:before="0" w:after="0"/>
        <w:ind w:left="707"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Trabajos cooperativos en grupos heterogéneos.</w:t>
      </w:r>
    </w:p>
    <w:p>
      <w:pPr>
        <w:pStyle w:val="Normal"/>
        <w:jc w:val="both"/>
        <w:rPr>
          <w:rFonts w:ascii="Cambria" w:hAnsi="Cambria" w:asciiTheme="majorHAnsi" w:hAnsiTheme="majorHAnsi"/>
          <w:bCs/>
          <w:color w:val="000000"/>
          <w:sz w:val="22"/>
          <w:szCs w:val="22"/>
        </w:rPr>
      </w:pPr>
      <w:r>
        <w:rPr>
          <w:rFonts w:asciiTheme="majorHAnsi" w:hAnsiTheme="majorHAnsi" w:ascii="Cambria" w:hAnsi="Cambria"/>
          <w:bCs/>
          <w:color w:val="000000"/>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mbria" w:hAnsi="Cambria" w:eastAsia="Cambria" w:cs="Cambria"/>
          <w:b/>
          <w:b/>
          <w:u w:val="single"/>
        </w:rPr>
      </w:pPr>
      <w:r>
        <w:rPr>
          <w:rFonts w:eastAsia="Cambria" w:cs="Cambria"/>
          <w:b/>
          <w:sz w:val="22"/>
          <w:szCs w:val="22"/>
          <w:u w:val="single"/>
        </w:rPr>
        <w:t>4. CRITERIOS DE CALIFICACIÓN</w:t>
      </w:r>
    </w:p>
    <w:p>
      <w:pPr>
        <w:pStyle w:val="Normal"/>
        <w:tabs>
          <w:tab w:val="clear" w:pos="720"/>
          <w:tab w:val="left" w:pos="284" w:leader="none"/>
        </w:tabs>
        <w:ind w:firstLine="284"/>
        <w:jc w:val="both"/>
        <w:rPr>
          <w:rFonts w:ascii="Calibri" w:hAnsi="Calibri"/>
          <w:color w:val="000000"/>
          <w:sz w:val="22"/>
          <w:szCs w:val="22"/>
        </w:rPr>
      </w:pPr>
      <w:r>
        <w:rPr>
          <w:color w:val="000000"/>
          <w:sz w:val="22"/>
          <w:szCs w:val="22"/>
        </w:rPr>
        <w:t xml:space="preserve"> </w:t>
      </w:r>
      <w:bookmarkStart w:id="2" w:name="docs-internal-guid-7576397f-7fff-886e-a7"/>
      <w:bookmarkEnd w:id="2"/>
    </w:p>
    <w:p>
      <w:pPr>
        <w:pStyle w:val="Cuerpodetexto"/>
        <w:numPr>
          <w:ilvl w:val="0"/>
          <w:numId w:val="11"/>
        </w:numPr>
        <w:tabs>
          <w:tab w:val="clear" w:pos="720"/>
          <w:tab w:val="left" w:pos="0" w:leader="none"/>
        </w:tabs>
        <w:bidi w:val="0"/>
        <w:spacing w:lineRule="auto" w:line="288" w:before="0" w:after="0"/>
        <w:ind w:left="707" w:right="0"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Teniendo en cuenta los procedimientos e instrumentos de evaluación indicados anteriormente en esta programación, se indican a continuación los criterios de calificación que se van a utilizar para este curso para obtener la calificación final de cada evaluación:</w:t>
      </w:r>
    </w:p>
    <w:p>
      <w:pPr>
        <w:pStyle w:val="Cuerpodetexto"/>
        <w:numPr>
          <w:ilvl w:val="0"/>
          <w:numId w:val="12"/>
        </w:numPr>
        <w:tabs>
          <w:tab w:val="clear" w:pos="720"/>
          <w:tab w:val="left" w:pos="0" w:leader="none"/>
        </w:tabs>
        <w:bidi w:val="0"/>
        <w:spacing w:lineRule="auto" w:line="288" w:before="0" w:after="0"/>
        <w:ind w:left="837" w:right="0" w:hanging="283"/>
        <w:jc w:val="both"/>
        <w:rPr/>
      </w:pPr>
      <w:r>
        <w:rPr>
          <w:rFonts w:ascii="Calibri;sans-serif" w:hAnsi="Calibri;sans-serif"/>
          <w:b w:val="false"/>
          <w:i w:val="false"/>
          <w:caps w:val="false"/>
          <w:smallCaps w:val="false"/>
          <w:strike w:val="false"/>
          <w:dstrike w:val="false"/>
          <w:color w:val="000000"/>
          <w:sz w:val="22"/>
          <w:u w:val="none"/>
          <w:effect w:val="none"/>
        </w:rPr>
        <w:t>La media aritmética de la nota obtenida en los exámenes que se realicen a lo largo de la evaluación tendrá un peso del 7</w:t>
      </w:r>
      <w:r>
        <w:rPr>
          <w:rFonts w:ascii="Calibri;sans-serif" w:hAnsi="Calibri;sans-serif"/>
          <w:b w:val="false"/>
          <w:i w:val="false"/>
          <w:caps w:val="false"/>
          <w:smallCaps w:val="false"/>
          <w:strike w:val="false"/>
          <w:dstrike w:val="false"/>
          <w:color w:val="000000"/>
          <w:sz w:val="22"/>
          <w:u w:val="none"/>
          <w:effect w:val="none"/>
        </w:rPr>
        <w:t>5</w:t>
      </w:r>
      <w:r>
        <w:rPr>
          <w:rFonts w:ascii="Calibri;sans-serif" w:hAnsi="Calibri;sans-serif"/>
          <w:b w:val="false"/>
          <w:i w:val="false"/>
          <w:caps w:val="false"/>
          <w:smallCaps w:val="false"/>
          <w:strike w:val="false"/>
          <w:dstrike w:val="false"/>
          <w:color w:val="000000"/>
          <w:sz w:val="22"/>
          <w:u w:val="none"/>
          <w:effect w:val="none"/>
        </w:rPr>
        <w:t xml:space="preserve"> % de la nota final.</w:t>
      </w:r>
    </w:p>
    <w:p>
      <w:pPr>
        <w:pStyle w:val="Cuerpodetexto"/>
        <w:bidi w:val="0"/>
        <w:spacing w:lineRule="auto" w:line="288" w:before="0" w:after="0"/>
        <w:ind w:left="850"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Se intentará como mínimo dos exámenes por evaluación. El contenido de estos exámenes se basará en los saberes y procedimientos  y podrán incluir actividades realizadas en clase y en laboratorio.</w:t>
      </w:r>
    </w:p>
    <w:p>
      <w:pPr>
        <w:pStyle w:val="Cuerpodetexto"/>
        <w:bidi w:val="0"/>
        <w:spacing w:lineRule="auto" w:line="288" w:before="0" w:after="0"/>
        <w:ind w:left="850"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Para hallar la contribución de los exámenes a la nota final de una evaluación, se hará la media ponderada de los exámenes realizados</w:t>
      </w:r>
    </w:p>
    <w:p>
      <w:pPr>
        <w:pStyle w:val="Cuerpodetexto"/>
        <w:rPr/>
      </w:pPr>
      <w:r>
        <w:rPr/>
      </w:r>
    </w:p>
    <w:p>
      <w:pPr>
        <w:pStyle w:val="Cuerpodetexto"/>
        <w:bidi w:val="0"/>
        <w:spacing w:lineRule="auto" w:line="288" w:before="0" w:after="0"/>
        <w:ind w:left="850" w:right="0" w:hanging="0"/>
        <w:jc w:val="both"/>
        <w:rPr>
          <w:rFonts w:ascii="Calibri;sans-serif" w:hAnsi="Calibri;sans-serif"/>
          <w:b w:val="false"/>
          <w:b w:val="false"/>
          <w:i w:val="false"/>
          <w:i w:val="false"/>
          <w:caps w:val="false"/>
          <w:smallCaps w:val="false"/>
          <w:strike w:val="false"/>
          <w:dstrike w:val="false"/>
          <w:color w:val="EE0000"/>
          <w:sz w:val="22"/>
          <w:u w:val="none"/>
          <w:effect w:val="none"/>
        </w:rPr>
      </w:pPr>
      <w:r>
        <w:rPr>
          <w:rFonts w:ascii="Calibri;sans-serif" w:hAnsi="Calibri;sans-serif"/>
          <w:b w:val="false"/>
          <w:i w:val="false"/>
          <w:caps w:val="false"/>
          <w:smallCaps w:val="false"/>
          <w:strike w:val="false"/>
          <w:dstrike w:val="false"/>
          <w:color w:val="auto"/>
          <w:sz w:val="22"/>
          <w:u w:val="none"/>
          <w:effect w:val="none"/>
        </w:rPr>
        <w:t>Si no se presenta a un examen sin causa justificada la nota será de 0 </w:t>
      </w:r>
    </w:p>
    <w:p>
      <w:pPr>
        <w:pStyle w:val="Cuerpodetexto"/>
        <w:bidi w:val="0"/>
        <w:spacing w:lineRule="auto" w:line="288" w:before="0" w:after="0"/>
        <w:ind w:left="850" w:right="0" w:hanging="0"/>
        <w:jc w:val="both"/>
        <w:rPr/>
      </w:pPr>
      <w:r>
        <w:rPr>
          <w:rFonts w:ascii="Calibri;sans-serif" w:hAnsi="Calibri;sans-serif"/>
          <w:b w:val="false"/>
          <w:i w:val="false"/>
          <w:caps w:val="false"/>
          <w:smallCaps w:val="false"/>
          <w:strike w:val="false"/>
          <w:dstrike w:val="false"/>
          <w:color w:val="auto"/>
          <w:sz w:val="22"/>
          <w:u w:val="none"/>
          <w:effect w:val="none"/>
        </w:rPr>
        <w:t xml:space="preserve">Si a un alumno se le coge haciendo algo irregular durante un examen su </w:t>
      </w:r>
      <w:r>
        <w:rPr>
          <w:rFonts w:ascii="Calibri;sans-serif" w:hAnsi="Calibri;sans-serif"/>
          <w:b w:val="false"/>
          <w:i w:val="false"/>
          <w:caps w:val="false"/>
          <w:smallCaps w:val="false"/>
          <w:strike w:val="false"/>
          <w:dstrike w:val="false"/>
          <w:color w:val="auto"/>
          <w:sz w:val="22"/>
          <w:u w:val="none"/>
          <w:effect w:val="none"/>
        </w:rPr>
        <w:t>calificación</w:t>
      </w:r>
      <w:r>
        <w:rPr>
          <w:rFonts w:ascii="Calibri;sans-serif" w:hAnsi="Calibri;sans-serif"/>
          <w:b w:val="false"/>
          <w:i w:val="false"/>
          <w:caps w:val="false"/>
          <w:smallCaps w:val="false"/>
          <w:strike w:val="false"/>
          <w:dstrike w:val="false"/>
          <w:color w:val="auto"/>
          <w:sz w:val="22"/>
          <w:u w:val="none"/>
          <w:effect w:val="none"/>
        </w:rPr>
        <w:t xml:space="preserve"> sera de 0 </w:t>
      </w:r>
    </w:p>
    <w:p>
      <w:pPr>
        <w:pStyle w:val="Cuerpodetexto"/>
        <w:rPr/>
      </w:pPr>
      <w:r>
        <w:rPr/>
      </w:r>
    </w:p>
    <w:p>
      <w:pPr>
        <w:pStyle w:val="Cuerpodetexto"/>
        <w:numPr>
          <w:ilvl w:val="0"/>
          <w:numId w:val="13"/>
        </w:numPr>
        <w:tabs>
          <w:tab w:val="clear" w:pos="720"/>
          <w:tab w:val="left" w:pos="0" w:leader="none"/>
        </w:tabs>
        <w:bidi w:val="0"/>
        <w:spacing w:lineRule="auto" w:line="288" w:before="0" w:after="0"/>
        <w:ind w:left="707"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El profesor supervisará los instrumentos 2, 3 ,4 ,5 y 6  , a partir de las tareas que se encarguen al alumno (incluyendo tanto los ejercicios propuestos en clase, como las tareas para casa o los informes de las prácticas de laboratorio).</w:t>
      </w:r>
    </w:p>
    <w:p>
      <w:pPr>
        <w:pStyle w:val="Cuerpodetexto"/>
        <w:bidi w:val="0"/>
        <w:spacing w:lineRule="auto" w:line="288" w:before="0" w:after="0"/>
        <w:ind w:left="720"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Por otra parte, el cuaderno de clase será de entrega obligatoria en la fecha indicada por el profesor.  </w:t>
      </w:r>
    </w:p>
    <w:p>
      <w:pPr>
        <w:pStyle w:val="Cuerpodetexto"/>
        <w:bidi w:val="0"/>
        <w:spacing w:lineRule="auto" w:line="288" w:before="0" w:after="0"/>
        <w:ind w:left="720"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 xml:space="preserve">La valoración de este apartado supondrá un </w:t>
      </w:r>
      <w:r>
        <w:rPr>
          <w:rFonts w:ascii="Calibri;sans-serif" w:hAnsi="Calibri;sans-serif"/>
          <w:b w:val="false"/>
          <w:i w:val="false"/>
          <w:caps w:val="false"/>
          <w:smallCaps w:val="false"/>
          <w:strike w:val="false"/>
          <w:dstrike w:val="false"/>
          <w:color w:val="000000"/>
          <w:sz w:val="22"/>
          <w:u w:val="none"/>
          <w:effect w:val="none"/>
        </w:rPr>
        <w:t>25</w:t>
      </w:r>
      <w:r>
        <w:rPr>
          <w:rFonts w:ascii="Calibri;sans-serif" w:hAnsi="Calibri;sans-serif"/>
          <w:b w:val="false"/>
          <w:i w:val="false"/>
          <w:caps w:val="false"/>
          <w:smallCaps w:val="false"/>
          <w:strike w:val="false"/>
          <w:dstrike w:val="false"/>
          <w:color w:val="000000"/>
          <w:sz w:val="22"/>
          <w:u w:val="none"/>
          <w:effect w:val="none"/>
        </w:rPr>
        <w:t xml:space="preserve"> % de la nota final. El porcentaje de cada una de las partes, variará en función del número de prácticas y/o trabajos que se hayan podido realizar.</w:t>
      </w:r>
    </w:p>
    <w:p>
      <w:pPr>
        <w:pStyle w:val="Cuerpodetexto"/>
        <w:rPr/>
      </w:pPr>
      <w:r>
        <w:rPr/>
      </w:r>
    </w:p>
    <w:p>
      <w:pPr>
        <w:pStyle w:val="Cuerpodetexto"/>
        <w:bidi w:val="0"/>
        <w:spacing w:lineRule="auto" w:line="288" w:before="0" w:after="0"/>
        <w:ind w:left="720" w:right="0" w:hanging="0"/>
        <w:jc w:val="both"/>
        <w:rPr>
          <w:rFonts w:ascii="Calibri;sans-serif" w:hAnsi="Calibri;sans-serif"/>
          <w:b w:val="false"/>
          <w:b w:val="false"/>
          <w:i w:val="false"/>
          <w:i w:val="false"/>
          <w:caps w:val="false"/>
          <w:smallCaps w:val="false"/>
          <w:strike w:val="false"/>
          <w:dstrike w:val="false"/>
          <w:color w:val="EE0000"/>
          <w:sz w:val="22"/>
          <w:u w:val="none"/>
          <w:effect w:val="none"/>
        </w:rPr>
      </w:pPr>
      <w:r>
        <w:rPr>
          <w:rFonts w:ascii="Calibri;sans-serif" w:hAnsi="Calibri;sans-serif"/>
          <w:b w:val="false"/>
          <w:i w:val="false"/>
          <w:caps w:val="false"/>
          <w:smallCaps w:val="false"/>
          <w:strike w:val="false"/>
          <w:dstrike w:val="false"/>
          <w:color w:val="auto"/>
          <w:sz w:val="22"/>
          <w:u w:val="none"/>
          <w:effect w:val="none"/>
        </w:rPr>
        <w:t>Los trabajos y practicas de laboratorio tendrán fecha de entrega, si se entregan después su nota será de 0 </w:t>
      </w:r>
    </w:p>
    <w:p>
      <w:pPr>
        <w:pStyle w:val="Cuerpodetexto"/>
        <w:rPr/>
      </w:pPr>
      <w:r>
        <w:rPr/>
      </w:r>
    </w:p>
    <w:p>
      <w:pPr>
        <w:pStyle w:val="Cuerpodetexto"/>
        <w:numPr>
          <w:ilvl w:val="0"/>
          <w:numId w:val="14"/>
        </w:numPr>
        <w:tabs>
          <w:tab w:val="clear" w:pos="720"/>
          <w:tab w:val="left" w:pos="0" w:leader="none"/>
        </w:tabs>
        <w:bidi w:val="0"/>
        <w:spacing w:lineRule="auto" w:line="288" w:before="0" w:after="0"/>
        <w:ind w:left="707" w:right="0"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Aquellos alumnos que no alcancen la calificación de 5 en una evaluación, tendrán la posibilidad de recuperarla por medio de una prueba escrita que se realizará una vez haya finalizado la evaluación.</w:t>
      </w:r>
    </w:p>
    <w:p>
      <w:pPr>
        <w:pStyle w:val="Cuerpodetexto"/>
        <w:bidi w:val="0"/>
        <w:spacing w:lineRule="auto" w:line="288" w:before="0" w:after="0"/>
        <w:ind w:left="283"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Además, aquellos alumnos con la evaluación aprobada, también podrán realizar dicha recuperación para mejorar su calificación en la evaluación.</w:t>
      </w:r>
    </w:p>
    <w:p>
      <w:pPr>
        <w:pStyle w:val="Cuerpodetexto"/>
        <w:bidi w:val="0"/>
        <w:spacing w:lineRule="auto" w:line="288" w:before="0" w:after="0"/>
        <w:ind w:left="283"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La nota obtenida en esta recuperación sustituirá a la obtenida en la evaluación, a la hora de calcular la nota final.</w:t>
      </w:r>
    </w:p>
    <w:p>
      <w:pPr>
        <w:pStyle w:val="Cuerpodetexto"/>
        <w:rPr/>
      </w:pPr>
      <w:r>
        <w:rPr/>
      </w:r>
    </w:p>
    <w:p>
      <w:pPr>
        <w:pStyle w:val="Cuerpodetexto"/>
        <w:numPr>
          <w:ilvl w:val="0"/>
          <w:numId w:val="15"/>
        </w:numPr>
        <w:tabs>
          <w:tab w:val="clear" w:pos="720"/>
          <w:tab w:val="left" w:pos="0" w:leader="none"/>
        </w:tabs>
        <w:bidi w:val="0"/>
        <w:spacing w:lineRule="auto" w:line="288" w:before="0" w:after="0"/>
        <w:ind w:left="707" w:right="0"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Para obtener la nota final de la materia en la evaluación ordinaria, y dado que tenemos tres evaluaciones, tendremos que tener en cuenta las siguientes consideraciones:</w:t>
      </w:r>
    </w:p>
    <w:p>
      <w:pPr>
        <w:pStyle w:val="Cuerpodetexto"/>
        <w:bidi w:val="0"/>
        <w:spacing w:lineRule="auto" w:line="288" w:before="0" w:after="0"/>
        <w:ind w:left="283"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Si todas las evaluaciones tienen una nota superior o igual a 5, la nota final será el promedio de las tres notas de las evaluaciones.</w:t>
      </w:r>
    </w:p>
    <w:p>
      <w:pPr>
        <w:pStyle w:val="Cuerpodetexto"/>
        <w:bidi w:val="0"/>
        <w:spacing w:lineRule="auto" w:line="288" w:before="0" w:after="0"/>
        <w:ind w:left="283"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Si solo hay una evaluación con una nota inferior a 5 pero superior a 4, también se hará el promedio. Si éste es igual o superior a 5, el promedio será la nota final; en cambio, si es inferior a 5, el alumno tendrá que realizar el examen de recuperación final de junio.</w:t>
      </w:r>
    </w:p>
    <w:p>
      <w:pPr>
        <w:pStyle w:val="Cuerpodetexto"/>
        <w:bidi w:val="0"/>
        <w:spacing w:lineRule="auto" w:line="288" w:before="0" w:after="0"/>
        <w:ind w:left="283"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Si hay dos o tres evaluaciones con nota inferior a 5, tendrá que ir al examen de recuperación final de curso.</w:t>
      </w:r>
    </w:p>
    <w:p>
      <w:pPr>
        <w:pStyle w:val="Cuerpodetexto"/>
        <w:rPr/>
      </w:pPr>
      <w:r>
        <w:rPr/>
      </w:r>
    </w:p>
    <w:p>
      <w:pPr>
        <w:pStyle w:val="Cuerpodetexto"/>
        <w:numPr>
          <w:ilvl w:val="0"/>
          <w:numId w:val="16"/>
        </w:numPr>
        <w:tabs>
          <w:tab w:val="clear" w:pos="720"/>
          <w:tab w:val="left" w:pos="0" w:leader="none"/>
        </w:tabs>
        <w:bidi w:val="0"/>
        <w:spacing w:lineRule="auto" w:line="288" w:before="0" w:after="0"/>
        <w:ind w:left="707" w:right="0"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En los últimos días de curso, se realizará una recuperación final previa a la evaluación final ordinaria. Los alumnos que tengan alguna evaluación suspendida y que no puedan obtener una calificación final de aprobado según el punto anterior, podrán examinarse sólo de la evaluación o evaluaciones que tengan suspendidas.</w:t>
      </w:r>
    </w:p>
    <w:p>
      <w:pPr>
        <w:pStyle w:val="Cuerpodetexto"/>
        <w:rPr/>
      </w:pPr>
      <w:r>
        <w:rPr/>
      </w:r>
    </w:p>
    <w:p>
      <w:pPr>
        <w:pStyle w:val="Cuerpodetexto"/>
        <w:numPr>
          <w:ilvl w:val="0"/>
          <w:numId w:val="17"/>
        </w:numPr>
        <w:tabs>
          <w:tab w:val="clear" w:pos="720"/>
          <w:tab w:val="left" w:pos="0" w:leader="none"/>
        </w:tabs>
        <w:bidi w:val="0"/>
        <w:spacing w:lineRule="auto" w:line="288" w:before="0" w:after="0"/>
        <w:ind w:left="707" w:right="0" w:hanging="283"/>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La nota de la materia en la evaluación final ordinaria se obtendrá realizando la media ponderada de las obtenidas en las tres evaluaciones (o la que haya obtenido tras realizar las recuperaciones).</w:t>
      </w:r>
    </w:p>
    <w:p>
      <w:pPr>
        <w:pStyle w:val="Cuerpodetexto"/>
        <w:rPr/>
      </w:pPr>
      <w:r>
        <w:rPr/>
      </w:r>
    </w:p>
    <w:p>
      <w:pPr>
        <w:pStyle w:val="Cuerpodetexto"/>
        <w:numPr>
          <w:ilvl w:val="0"/>
          <w:numId w:val="0"/>
        </w:numPr>
        <w:bidi w:val="0"/>
        <w:spacing w:lineRule="auto" w:line="288" w:before="0" w:after="0"/>
        <w:ind w:left="707" w:right="0" w:hanging="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r>
    </w:p>
    <w:p>
      <w:pPr>
        <w:pStyle w:val="Cuerpodetexto"/>
        <w:rPr/>
      </w:pPr>
      <w:r>
        <w:rPr/>
      </w:r>
    </w:p>
    <w:p>
      <w:pPr>
        <w:pStyle w:val="Cuerpodetexto"/>
        <w:bidi w:val="0"/>
        <w:spacing w:lineRule="auto" w:line="288" w:before="0" w:after="0"/>
        <w:rPr>
          <w:rFonts w:ascii="Calibri;sans-serif" w:hAnsi="Calibri;sans-serif"/>
          <w:b w:val="false"/>
          <w:b w:val="false"/>
          <w:i w:val="false"/>
          <w:i w:val="false"/>
          <w:caps w:val="false"/>
          <w:smallCaps w:val="false"/>
          <w:strike w:val="false"/>
          <w:dstrike w:val="false"/>
          <w:color w:val="EE0000"/>
          <w:sz w:val="22"/>
          <w:u w:val="none"/>
          <w:effect w:val="none"/>
        </w:rPr>
      </w:pPr>
      <w:r>
        <w:rPr>
          <w:rFonts w:ascii="Calibri;sans-serif" w:hAnsi="Calibri;sans-serif"/>
          <w:b w:val="false"/>
          <w:i w:val="false"/>
          <w:caps w:val="false"/>
          <w:smallCaps w:val="false"/>
          <w:strike w:val="false"/>
          <w:dstrike w:val="false"/>
          <w:color w:val="auto"/>
          <w:sz w:val="22"/>
          <w:u w:val="none"/>
          <w:effect w:val="none"/>
        </w:rPr>
        <w:t>Los exámenes se diseñan  de tal forma que el 75% se reparta entre las competencias específicas 1, 2 y 3.1 y 3.2 como se indica en este cuadro</w:t>
      </w:r>
    </w:p>
    <w:p>
      <w:pPr>
        <w:pStyle w:val="Cuerpodetexto"/>
        <w:rPr>
          <w:color w:val="auto"/>
        </w:rPr>
      </w:pPr>
      <w:r>
        <w:rPr>
          <w:color w:val="auto"/>
        </w:rPr>
      </w:r>
    </w:p>
    <w:p>
      <w:pPr>
        <w:pStyle w:val="Cuerpodetexto"/>
        <w:bidi w:val="0"/>
        <w:spacing w:lineRule="auto" w:line="288" w:before="0" w:after="0"/>
        <w:rPr>
          <w:caps w:val="false"/>
          <w:smallCaps w:val="false"/>
          <w:strike w:val="false"/>
          <w:dstrike w:val="false"/>
          <w:color w:val="EE0000"/>
          <w:u w:val="none"/>
          <w:effect w:val="none"/>
        </w:rPr>
      </w:pPr>
      <w:r>
        <w:rPr>
          <w:caps w:val="false"/>
          <w:smallCaps w:val="false"/>
          <w:strike w:val="false"/>
          <w:dstrike w:val="false"/>
          <w:color w:val="auto"/>
          <w:u w:val="none"/>
          <w:effect w:val="none"/>
        </w:rPr>
        <w:t> </w:t>
      </w:r>
      <w:r>
        <w:rPr>
          <w:rFonts w:ascii="Calibri;sans-serif" w:hAnsi="Calibri;sans-serif"/>
          <w:b w:val="false"/>
          <w:i w:val="false"/>
          <w:caps w:val="false"/>
          <w:smallCaps w:val="false"/>
          <w:strike w:val="false"/>
          <w:dstrike w:val="false"/>
          <w:color w:val="auto"/>
          <w:sz w:val="22"/>
          <w:u w:val="none"/>
          <w:effect w:val="none"/>
        </w:rPr>
        <w:t>Las actividades que suponen el 25% estarán diseñadas para cumplir el reparto entre las competencias 3.3, 4, 5 y 6 como se indica en este cuadro. . </w:t>
      </w:r>
    </w:p>
    <w:p>
      <w:pPr>
        <w:pStyle w:val="Cuerpodetexto"/>
        <w:spacing w:before="0" w:after="0"/>
        <w:rPr/>
      </w:pPr>
      <w:r>
        <w:rPr/>
      </w:r>
    </w:p>
    <w:tbl>
      <w:tblPr>
        <w:tblW w:w="8504" w:type="dxa"/>
        <w:jc w:val="left"/>
        <w:tblInd w:w="100" w:type="dxa"/>
        <w:tblCellMar>
          <w:top w:w="100" w:type="dxa"/>
          <w:left w:w="100" w:type="dxa"/>
          <w:bottom w:w="100" w:type="dxa"/>
          <w:right w:w="100" w:type="dxa"/>
        </w:tblCellMar>
      </w:tblPr>
      <w:tblGrid>
        <w:gridCol w:w="1972"/>
        <w:gridCol w:w="742"/>
        <w:gridCol w:w="2480"/>
        <w:gridCol w:w="3309"/>
      </w:tblGrid>
      <w:tr>
        <w:trPr/>
        <w:tc>
          <w:tcPr>
            <w:tcW w:w="197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b/>
                <w:i w:val="false"/>
                <w:i w:val="false"/>
                <w:caps w:val="false"/>
                <w:smallCaps w:val="false"/>
                <w:strike w:val="false"/>
                <w:dstrike w:val="false"/>
                <w:color w:val="000000"/>
                <w:sz w:val="22"/>
                <w:u w:val="none"/>
                <w:effect w:val="none"/>
              </w:rPr>
            </w:pPr>
            <w:r>
              <w:rPr>
                <w:rFonts w:ascii="Calibri;sans-serif" w:hAnsi="Calibri;sans-serif"/>
                <w:b/>
                <w:i w:val="false"/>
                <w:caps w:val="false"/>
                <w:smallCaps w:val="false"/>
                <w:strike w:val="false"/>
                <w:dstrike w:val="false"/>
                <w:color w:val="000000"/>
                <w:sz w:val="22"/>
                <w:u w:val="none"/>
                <w:effect w:val="none"/>
              </w:rPr>
              <w:t>COMPETENCIAS ESPECÍFICAS</w:t>
            </w:r>
          </w:p>
        </w:tc>
        <w:tc>
          <w:tcPr>
            <w:tcW w:w="74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b/>
                <w:i w:val="false"/>
                <w:i w:val="false"/>
                <w:caps w:val="false"/>
                <w:smallCaps w:val="false"/>
                <w:strike w:val="false"/>
                <w:dstrike w:val="false"/>
                <w:color w:val="000000"/>
                <w:sz w:val="22"/>
                <w:u w:val="none"/>
                <w:effect w:val="none"/>
              </w:rPr>
            </w:pPr>
            <w:r>
              <w:rPr>
                <w:rFonts w:ascii="Calibri;sans-serif" w:hAnsi="Calibri;sans-serif"/>
                <w:b/>
                <w:i w:val="false"/>
                <w:caps w:val="false"/>
                <w:smallCaps w:val="false"/>
                <w:strike w:val="false"/>
                <w:dstrike w:val="false"/>
                <w:color w:val="000000"/>
                <w:sz w:val="22"/>
                <w:u w:val="none"/>
                <w:effect w:val="none"/>
              </w:rPr>
              <w:t>%</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rPr>
                <w:rFonts w:ascii="Calibri;sans-serif" w:hAnsi="Calibri;sans-serif"/>
                <w:b/>
                <w:b/>
                <w:i w:val="false"/>
                <w:i w:val="false"/>
                <w:caps w:val="false"/>
                <w:smallCaps w:val="false"/>
                <w:strike w:val="false"/>
                <w:dstrike w:val="false"/>
                <w:color w:val="000000"/>
                <w:sz w:val="22"/>
                <w:u w:val="none"/>
                <w:effect w:val="none"/>
              </w:rPr>
            </w:pPr>
            <w:r>
              <w:rPr>
                <w:rFonts w:ascii="Calibri;sans-serif" w:hAnsi="Calibri;sans-serif"/>
                <w:b/>
                <w:i w:val="false"/>
                <w:caps w:val="false"/>
                <w:smallCaps w:val="false"/>
                <w:strike w:val="false"/>
                <w:dstrike w:val="false"/>
                <w:color w:val="000000"/>
                <w:sz w:val="22"/>
                <w:u w:val="none"/>
                <w:effect w:val="none"/>
              </w:rPr>
              <w:t>CRITERIOS DE EVALUACIÓN</w:t>
            </w:r>
          </w:p>
        </w:tc>
        <w:tc>
          <w:tcPr>
            <w:tcW w:w="3309"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b/>
                <w:i w:val="false"/>
                <w:i w:val="false"/>
                <w:caps w:val="false"/>
                <w:smallCaps w:val="false"/>
                <w:strike w:val="false"/>
                <w:dstrike w:val="false"/>
                <w:color w:val="000000"/>
                <w:sz w:val="22"/>
                <w:u w:val="none"/>
                <w:effect w:val="none"/>
              </w:rPr>
            </w:pPr>
            <w:r>
              <w:rPr>
                <w:rFonts w:ascii="Calibri;sans-serif" w:hAnsi="Calibri;sans-serif"/>
                <w:b/>
                <w:i w:val="false"/>
                <w:caps w:val="false"/>
                <w:smallCaps w:val="false"/>
                <w:strike w:val="false"/>
                <w:dstrike w:val="false"/>
                <w:color w:val="000000"/>
                <w:sz w:val="22"/>
                <w:u w:val="none"/>
                <w:effect w:val="none"/>
              </w:rPr>
              <w:t>INSTRUMENTOS DE EVALUACIÓN</w:t>
            </w:r>
          </w:p>
        </w:tc>
      </w:tr>
      <w:tr>
        <w:trPr/>
        <w:tc>
          <w:tcPr>
            <w:tcW w:w="197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C.E. FQ. 1.</w:t>
            </w:r>
          </w:p>
        </w:tc>
        <w:tc>
          <w:tcPr>
            <w:tcW w:w="74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32%</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1.1</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1.2  </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1.3 </w:t>
            </w:r>
          </w:p>
        </w:tc>
        <w:tc>
          <w:tcPr>
            <w:tcW w:w="3309"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7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C.E. FQ.2</w:t>
            </w:r>
          </w:p>
        </w:tc>
        <w:tc>
          <w:tcPr>
            <w:tcW w:w="74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27%</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2.1 </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2.2.   </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2.3.</w:t>
            </w:r>
          </w:p>
        </w:tc>
        <w:tc>
          <w:tcPr>
            <w:tcW w:w="3309"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7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C.E. FQ.3.</w:t>
            </w:r>
          </w:p>
        </w:tc>
        <w:tc>
          <w:tcPr>
            <w:tcW w:w="74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22%</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3.1. y3.2.  16% </w:t>
            </w:r>
          </w:p>
          <w:p>
            <w:pPr>
              <w:pStyle w:val="Contenidodelatabla"/>
              <w:bidi w:val="0"/>
              <w:spacing w:lineRule="auto" w:line="288" w:before="0" w:after="0"/>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3.3                6%</w:t>
            </w:r>
          </w:p>
        </w:tc>
        <w:tc>
          <w:tcPr>
            <w:tcW w:w="3309"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PRUEBA OBJETIVA 3.1 y 3.2 </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EJERCICIOS DE CLASE, Y CASA 3.3 </w:t>
            </w:r>
          </w:p>
          <w:p>
            <w:pPr>
              <w:pStyle w:val="Contenidodelatabla"/>
              <w:bidi w:val="0"/>
              <w:spacing w:lineRule="auto" w:line="288" w:before="0" w:after="0"/>
              <w:jc w:val="both"/>
              <w:rPr>
                <w:caps w:val="false"/>
                <w:smallCaps w:val="false"/>
                <w:strike w:val="false"/>
                <w:dstrike w:val="false"/>
                <w:color w:val="000000"/>
                <w:u w:val="none"/>
                <w:effect w:val="none"/>
              </w:rPr>
            </w:pPr>
            <w:r>
              <w:rPr>
                <w:caps w:val="false"/>
                <w:smallCaps w:val="false"/>
                <w:strike w:val="false"/>
                <w:dstrike w:val="false"/>
                <w:color w:val="000000"/>
                <w:u w:val="none"/>
                <w:effect w:val="none"/>
              </w:rPr>
              <w:t> </w:t>
            </w:r>
            <w:r>
              <w:rPr>
                <w:rFonts w:ascii="Calibri;sans-serif" w:hAnsi="Calibri;sans-serif"/>
                <w:b w:val="false"/>
                <w:i w:val="false"/>
                <w:caps w:val="false"/>
                <w:smallCaps w:val="false"/>
                <w:strike w:val="false"/>
                <w:dstrike w:val="false"/>
                <w:color w:val="000000"/>
                <w:sz w:val="22"/>
                <w:u w:val="none"/>
                <w:effect w:val="none"/>
              </w:rPr>
              <w:t>INFORMES DE LABORATORIO 3.3 </w:t>
            </w:r>
          </w:p>
        </w:tc>
      </w:tr>
      <w:tr>
        <w:trPr/>
        <w:tc>
          <w:tcPr>
            <w:tcW w:w="197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C.E. FQ.4.</w:t>
            </w:r>
          </w:p>
        </w:tc>
        <w:tc>
          <w:tcPr>
            <w:tcW w:w="74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7%</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4.1. </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4.2 </w:t>
            </w:r>
          </w:p>
        </w:tc>
        <w:tc>
          <w:tcPr>
            <w:tcW w:w="3309"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ACTIVIDADES DE MANEJO DE LA INFORMACIÓN</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CUADERNO</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INFORMES DE LABORATORIO</w:t>
            </w:r>
          </w:p>
        </w:tc>
      </w:tr>
      <w:tr>
        <w:trPr/>
        <w:tc>
          <w:tcPr>
            <w:tcW w:w="197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C.E. FQ. 5</w:t>
            </w:r>
          </w:p>
        </w:tc>
        <w:tc>
          <w:tcPr>
            <w:tcW w:w="74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6%</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5.1  </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5.2</w:t>
            </w:r>
          </w:p>
        </w:tc>
        <w:tc>
          <w:tcPr>
            <w:tcW w:w="3309"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CUADERNO </w:t>
            </w:r>
          </w:p>
        </w:tc>
      </w:tr>
      <w:tr>
        <w:trPr/>
        <w:tc>
          <w:tcPr>
            <w:tcW w:w="197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C.E. FQ.6.</w:t>
            </w:r>
          </w:p>
        </w:tc>
        <w:tc>
          <w:tcPr>
            <w:tcW w:w="742"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6%</w:t>
            </w:r>
          </w:p>
        </w:tc>
        <w:tc>
          <w:tcPr>
            <w:tcW w:w="248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6.1 </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6.2</w:t>
            </w:r>
          </w:p>
        </w:tc>
        <w:tc>
          <w:tcPr>
            <w:tcW w:w="3309"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rFonts w:ascii="Calibri;sans-serif" w:hAnsi="Calibri;sans-serif"/>
                <w:b w:val="false"/>
                <w:b w:val="false"/>
                <w:i w:val="false"/>
                <w:i w:val="false"/>
                <w:caps w:val="false"/>
                <w:smallCaps w:val="false"/>
                <w:strike w:val="false"/>
                <w:dstrike w:val="false"/>
                <w:color w:val="000000"/>
                <w:sz w:val="22"/>
                <w:u w:val="none"/>
                <w:effect w:val="none"/>
              </w:rPr>
            </w:pPr>
            <w:r>
              <w:rPr>
                <w:rFonts w:ascii="Calibri;sans-serif" w:hAnsi="Calibri;sans-serif"/>
                <w:b w:val="false"/>
                <w:i w:val="false"/>
                <w:caps w:val="false"/>
                <w:smallCaps w:val="false"/>
                <w:strike w:val="false"/>
                <w:dstrike w:val="false"/>
                <w:color w:val="000000"/>
                <w:sz w:val="22"/>
                <w:u w:val="none"/>
                <w:effect w:val="none"/>
              </w:rPr>
              <w:t>TRABAJO EN CLASE Y CASA </w:t>
            </w:r>
          </w:p>
        </w:tc>
      </w:tr>
    </w:tbl>
    <w:p>
      <w:pPr>
        <w:pStyle w:val="Cuerpodetexto"/>
        <w:rPr>
          <w:rFonts w:ascii="Calibri" w:hAnsi="Calibri"/>
          <w:color w:val="000000"/>
          <w:sz w:val="22"/>
          <w:szCs w:val="22"/>
        </w:rPr>
      </w:pPr>
      <w:r>
        <w:rPr>
          <w:b w:val="false"/>
        </w:rPr>
        <w:br/>
      </w:r>
    </w:p>
    <w:p>
      <w:pPr>
        <w:pStyle w:val="Normal"/>
        <w:jc w:val="both"/>
        <w:rPr>
          <w:rFonts w:ascii="Cambria" w:hAnsi="Cambria" w:eastAsia="Cambria" w:cs="Cambria" w:asciiTheme="majorHAnsi" w:hAnsiTheme="majorHAnsi"/>
          <w:b/>
          <w:b/>
          <w:u w:val="single"/>
        </w:rPr>
      </w:pPr>
      <w:r>
        <w:rPr>
          <w:rFonts w:eastAsia="Cambria" w:cs="Cambria"/>
          <w:b/>
          <w:sz w:val="22"/>
          <w:szCs w:val="22"/>
          <w:u w:val="single"/>
        </w:rPr>
        <w:t>5. EVALUACIÓN INICIAL</w:t>
      </w:r>
    </w:p>
    <w:p>
      <w:pPr>
        <w:pStyle w:val="Normal"/>
        <w:tabs>
          <w:tab w:val="clear" w:pos="720"/>
          <w:tab w:val="left" w:pos="284" w:leader="none"/>
        </w:tabs>
        <w:ind w:firstLine="284"/>
        <w:jc w:val="both"/>
        <w:rPr>
          <w:rFonts w:ascii="Cambria" w:hAnsi="Cambria" w:asciiTheme="majorHAnsi" w:hAnsiTheme="majorHAnsi"/>
        </w:rPr>
      </w:pPr>
      <w:r>
        <w:rPr>
          <w:sz w:val="22"/>
          <w:szCs w:val="22"/>
        </w:rPr>
        <w:t>El proceso de enseñanza y del aprendizaje de alumnos y alumnas se dirige hacia el logro de una serie de objetivos, lo que implica partir de un "estado inicial" (que debe conocerse) sobre el que se irán operando los cambios producidos por el proceso enseñanza-aprendizaje.</w:t>
      </w:r>
    </w:p>
    <w:p>
      <w:pPr>
        <w:pStyle w:val="Normal"/>
        <w:tabs>
          <w:tab w:val="clear" w:pos="720"/>
          <w:tab w:val="left" w:pos="284" w:leader="none"/>
        </w:tabs>
        <w:ind w:firstLine="284"/>
        <w:jc w:val="both"/>
        <w:rPr>
          <w:rFonts w:ascii="Cambria" w:hAnsi="Cambria" w:asciiTheme="majorHAnsi" w:hAnsiTheme="majorHAnsi"/>
        </w:rPr>
      </w:pPr>
      <w:r>
        <w:rPr>
          <w:sz w:val="22"/>
          <w:szCs w:val="22"/>
        </w:rPr>
        <w:t>El conocimiento de los niveles, características y necesidades de los alumnos nos permitirán tomar una serie de decisiones relativas a:</w:t>
      </w:r>
    </w:p>
    <w:p>
      <w:pPr>
        <w:pStyle w:val="Normal"/>
        <w:numPr>
          <w:ilvl w:val="0"/>
          <w:numId w:val="2"/>
        </w:numPr>
        <w:tabs>
          <w:tab w:val="clear" w:pos="720"/>
          <w:tab w:val="left" w:pos="284" w:leader="none"/>
        </w:tabs>
        <w:spacing w:before="0" w:after="0"/>
        <w:ind w:left="284" w:hanging="0"/>
        <w:jc w:val="both"/>
        <w:rPr>
          <w:rFonts w:ascii="Cambria" w:hAnsi="Cambria" w:asciiTheme="majorHAnsi" w:hAnsiTheme="majorHAnsi"/>
        </w:rPr>
      </w:pPr>
      <w:r>
        <w:rPr>
          <w:sz w:val="22"/>
          <w:szCs w:val="22"/>
        </w:rPr>
        <w:t>planificar y programar las actividades docentes.</w:t>
      </w:r>
    </w:p>
    <w:p>
      <w:pPr>
        <w:pStyle w:val="Normal"/>
        <w:numPr>
          <w:ilvl w:val="0"/>
          <w:numId w:val="2"/>
        </w:numPr>
        <w:tabs>
          <w:tab w:val="clear" w:pos="720"/>
          <w:tab w:val="left" w:pos="284" w:leader="none"/>
        </w:tabs>
        <w:spacing w:before="0" w:after="0"/>
        <w:ind w:left="284" w:hanging="0"/>
        <w:jc w:val="both"/>
        <w:rPr>
          <w:rFonts w:ascii="Cambria" w:hAnsi="Cambria" w:asciiTheme="majorHAnsi" w:hAnsiTheme="majorHAnsi"/>
        </w:rPr>
      </w:pPr>
      <w:r>
        <w:rPr>
          <w:sz w:val="22"/>
          <w:szCs w:val="22"/>
        </w:rPr>
        <w:t>adoptar medidas de atención a la diversidad en el aula.</w:t>
      </w:r>
    </w:p>
    <w:p>
      <w:pPr>
        <w:pStyle w:val="Normal"/>
        <w:numPr>
          <w:ilvl w:val="0"/>
          <w:numId w:val="2"/>
        </w:numPr>
        <w:tabs>
          <w:tab w:val="clear" w:pos="720"/>
          <w:tab w:val="left" w:pos="284" w:leader="none"/>
        </w:tabs>
        <w:ind w:left="284" w:hanging="0"/>
        <w:jc w:val="both"/>
        <w:rPr>
          <w:rFonts w:ascii="Cambria" w:hAnsi="Cambria" w:asciiTheme="majorHAnsi" w:hAnsiTheme="majorHAnsi"/>
        </w:rPr>
      </w:pPr>
      <w:r>
        <w:rPr>
          <w:sz w:val="22"/>
          <w:szCs w:val="22"/>
        </w:rPr>
        <w:t>metodologías a emplear.</w:t>
      </w:r>
    </w:p>
    <w:p>
      <w:pPr>
        <w:pStyle w:val="Normal"/>
        <w:tabs>
          <w:tab w:val="clear" w:pos="720"/>
          <w:tab w:val="left" w:pos="284" w:leader="none"/>
        </w:tabs>
        <w:ind w:firstLine="284"/>
        <w:jc w:val="both"/>
        <w:rPr>
          <w:rFonts w:ascii="Cambria" w:hAnsi="Cambria" w:asciiTheme="majorHAnsi" w:hAnsiTheme="majorHAnsi"/>
        </w:rPr>
      </w:pPr>
      <w:r>
        <w:rPr>
          <w:sz w:val="22"/>
          <w:szCs w:val="22"/>
        </w:rPr>
        <w:t>El proceso de evaluación inicial exige que se atienda más a los posibles recursos y capacidades de los alumnos que a las posibles deficiencias que presenten, aunque sin olvidar éstas.</w:t>
      </w:r>
    </w:p>
    <w:p>
      <w:pPr>
        <w:pStyle w:val="Normal"/>
        <w:tabs>
          <w:tab w:val="clear" w:pos="720"/>
          <w:tab w:val="left" w:pos="284" w:leader="none"/>
        </w:tabs>
        <w:ind w:firstLine="284"/>
        <w:jc w:val="both"/>
        <w:rPr>
          <w:rFonts w:ascii="Cambria" w:hAnsi="Cambria" w:asciiTheme="majorHAnsi" w:hAnsiTheme="majorHAnsi"/>
        </w:rPr>
      </w:pPr>
      <w:r>
        <w:rPr>
          <w:sz w:val="22"/>
          <w:szCs w:val="22"/>
        </w:rPr>
        <w:t>Desde este supuesto lo primero que conviene explorar y conocer son las actitudes de los alumnos frente a los contenidos de la materia. El conocimiento de estas actitudes proporcionará datos valiosos para organizar unas actividades que fomenten la "motivación por aprender" en los alumnos/as. Esta información se recogerá a partir de la observación de los intereses del alumnado durante los primeros días del curso por parte del docente.</w:t>
      </w:r>
    </w:p>
    <w:p>
      <w:pPr>
        <w:pStyle w:val="Normal"/>
        <w:tabs>
          <w:tab w:val="clear" w:pos="720"/>
          <w:tab w:val="left" w:pos="284" w:leader="none"/>
        </w:tabs>
        <w:ind w:firstLine="284"/>
        <w:jc w:val="both"/>
        <w:rPr>
          <w:rFonts w:ascii="Cambria" w:hAnsi="Cambria" w:asciiTheme="majorHAnsi" w:hAnsiTheme="majorHAnsi"/>
        </w:rPr>
      </w:pPr>
      <w:r>
        <w:rPr>
          <w:sz w:val="22"/>
          <w:szCs w:val="22"/>
        </w:rPr>
        <w:t>En segundo lugar, interesa conocer el grado de dominio de cada alumno/a de los contenidos relacionados con la materia de cursos anteriores. En este sentido, el instrumento principal para la recogida de información de cara a la evaluación inicial será una prueba escrita de tipo test que haga referencia principalmente a los contenidos de 2º de ESO (Física y Química), aunque también aparecen algunos de las materias de Matemáticas de 1º y 2º de ESO. Se ha optado por este tipo de prueba porque los alumnos/as menos motivados o con más dificultades suelen responder mejor a este tipo de prueba.</w:t>
      </w:r>
    </w:p>
    <w:p>
      <w:pPr>
        <w:pStyle w:val="Normal"/>
        <w:tabs>
          <w:tab w:val="clear" w:pos="720"/>
          <w:tab w:val="left" w:pos="284" w:leader="none"/>
        </w:tabs>
        <w:ind w:firstLine="284"/>
        <w:jc w:val="both"/>
        <w:rPr>
          <w:rFonts w:ascii="Cambria" w:hAnsi="Cambria" w:asciiTheme="majorHAnsi" w:hAnsiTheme="majorHAnsi"/>
        </w:rPr>
      </w:pPr>
      <w:r>
        <w:rPr>
          <w:sz w:val="22"/>
          <w:szCs w:val="22"/>
        </w:rPr>
        <w:t xml:space="preserve"> </w:t>
      </w:r>
      <w:r>
        <w:rPr>
          <w:sz w:val="22"/>
          <w:szCs w:val="22"/>
        </w:rPr>
        <w:t>Esta prueba no tiene una finalidad clasificadora del alumnado, pero puede servir para la detección temprana de problemas y dificultades de aprendizaje en algunos alumnos/as.</w:t>
      </w:r>
    </w:p>
    <w:p>
      <w:pPr>
        <w:pStyle w:val="Normal"/>
        <w:tabs>
          <w:tab w:val="clear" w:pos="720"/>
          <w:tab w:val="left" w:pos="284" w:leader="none"/>
        </w:tabs>
        <w:ind w:firstLine="284"/>
        <w:jc w:val="both"/>
        <w:rPr>
          <w:rFonts w:ascii="Cambria" w:hAnsi="Cambria" w:asciiTheme="majorHAnsi" w:hAnsiTheme="majorHAnsi"/>
        </w:rPr>
      </w:pPr>
      <w:r>
        <w:rPr>
          <w:sz w:val="22"/>
          <w:szCs w:val="22"/>
        </w:rPr>
        <w:t xml:space="preserve">Asimismo, es importante disponer de la información acumulada sobre el alumno/a a lo largo de su escolarización en el instituto, pudiéndose obtener de esta manera datos muy valiosos para la optimización del proceso enseñanza-aprendizaje. </w:t>
      </w:r>
    </w:p>
    <w:p>
      <w:pPr>
        <w:pStyle w:val="Normal"/>
        <w:tabs>
          <w:tab w:val="clear" w:pos="720"/>
          <w:tab w:val="left" w:pos="284" w:leader="none"/>
        </w:tabs>
        <w:ind w:firstLine="284"/>
        <w:jc w:val="both"/>
        <w:rPr>
          <w:rFonts w:ascii="Cambria" w:hAnsi="Cambria" w:asciiTheme="majorHAnsi" w:hAnsiTheme="majorHAnsi"/>
        </w:rPr>
      </w:pPr>
      <w:r>
        <w:rPr>
          <w:sz w:val="22"/>
          <w:szCs w:val="22"/>
        </w:rPr>
        <w:t>En función de los datos que se obtengan de las diferentes fuentes de información indicadas se realizarán las siguientes acciones:</w:t>
      </w:r>
    </w:p>
    <w:p>
      <w:pPr>
        <w:pStyle w:val="Normal"/>
        <w:tabs>
          <w:tab w:val="clear" w:pos="720"/>
          <w:tab w:val="left" w:pos="284" w:leader="none"/>
        </w:tabs>
        <w:ind w:firstLine="567"/>
        <w:jc w:val="both"/>
        <w:rPr>
          <w:rFonts w:ascii="Cambria" w:hAnsi="Cambria" w:asciiTheme="majorHAnsi" w:hAnsiTheme="majorHAnsi"/>
        </w:rPr>
      </w:pPr>
      <w:r>
        <w:rPr>
          <w:sz w:val="22"/>
          <w:szCs w:val="22"/>
        </w:rPr>
        <w:t>- Se establecerá el punto de partida del proceso de enseñanza-aprendizaje.</w:t>
      </w:r>
    </w:p>
    <w:p>
      <w:pPr>
        <w:pStyle w:val="Normal"/>
        <w:tabs>
          <w:tab w:val="clear" w:pos="720"/>
          <w:tab w:val="left" w:pos="284" w:leader="none"/>
        </w:tabs>
        <w:ind w:firstLine="567"/>
        <w:jc w:val="both"/>
        <w:rPr>
          <w:rFonts w:ascii="Cambria" w:hAnsi="Cambria" w:asciiTheme="majorHAnsi" w:hAnsiTheme="majorHAnsi"/>
        </w:rPr>
      </w:pPr>
      <w:r>
        <w:rPr>
          <w:sz w:val="22"/>
          <w:szCs w:val="22"/>
        </w:rPr>
        <w:t xml:space="preserve"> </w:t>
      </w:r>
      <w:r>
        <w:rPr>
          <w:sz w:val="22"/>
          <w:szCs w:val="22"/>
        </w:rPr>
        <w:t>- Se adecuará el proceso de enseñanza a las características de los alumnos (tanto a nivel grupal como individual), diseñando las actividades de refuerzo para aquellos alumnos que lo necesiten.</w:t>
      </w:r>
    </w:p>
    <w:p>
      <w:pPr>
        <w:pStyle w:val="Normal"/>
        <w:tabs>
          <w:tab w:val="clear" w:pos="720"/>
          <w:tab w:val="left" w:pos="284" w:leader="none"/>
        </w:tabs>
        <w:ind w:firstLine="567"/>
        <w:jc w:val="both"/>
        <w:rPr>
          <w:rFonts w:ascii="Cambria" w:hAnsi="Cambria" w:asciiTheme="majorHAnsi" w:hAnsiTheme="majorHAnsi"/>
        </w:rPr>
      </w:pPr>
      <w:r>
        <w:rPr>
          <w:sz w:val="22"/>
          <w:szCs w:val="22"/>
        </w:rPr>
        <w:t>- Se elaborarán las adaptaciones no significativas que sean precisas en colaboración con el departamento de Orientación.</w:t>
      </w:r>
    </w:p>
    <w:p>
      <w:pPr>
        <w:pStyle w:val="Normal"/>
        <w:tabs>
          <w:tab w:val="clear" w:pos="720"/>
          <w:tab w:val="left" w:pos="284" w:leader="none"/>
        </w:tabs>
        <w:ind w:firstLine="567"/>
        <w:jc w:val="both"/>
        <w:rPr>
          <w:rFonts w:ascii="Arial" w:hAnsi="Arial" w:eastAsia="Arial" w:cs="Arial"/>
          <w:sz w:val="20"/>
          <w:szCs w:val="20"/>
        </w:rPr>
      </w:pPr>
      <w:r>
        <w:rPr>
          <w:sz w:val="22"/>
          <w:szCs w:val="22"/>
        </w:rPr>
        <w:t xml:space="preserve">- Se diseñará la metodología adecuada a la realidad y a los focos de interés de los alumnos/as del grupo. </w:t>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mbria" w:hAnsi="Cambria" w:eastAsia="Cambria" w:cs="Cambria" w:asciiTheme="majorHAnsi" w:hAnsiTheme="majorHAnsi"/>
          <w:b/>
          <w:b/>
          <w:u w:val="single"/>
        </w:rPr>
      </w:pPr>
      <w:r>
        <w:rPr>
          <w:rFonts w:eastAsia="Cambria" w:cs="Cambria"/>
          <w:b/>
          <w:sz w:val="22"/>
          <w:szCs w:val="22"/>
          <w:u w:val="single"/>
        </w:rPr>
        <w:t xml:space="preserve">6. ACTUACIONES GENERALES DE ATENCIÓN A LAS DIFERENCIAS INDIVIDUALES Y ADAPTACIONES CURRICULARES </w:t>
      </w:r>
    </w:p>
    <w:p>
      <w:pPr>
        <w:pStyle w:val="Normal"/>
        <w:jc w:val="both"/>
        <w:rPr>
          <w:rFonts w:ascii="Cambria" w:hAnsi="Cambria" w:asciiTheme="majorHAnsi" w:hAnsiTheme="majorHAnsi"/>
          <w:bCs/>
        </w:rPr>
      </w:pPr>
      <w:r>
        <w:rPr>
          <w:rFonts w:eastAsia="Cambria" w:cs="Cambria"/>
          <w:sz w:val="22"/>
          <w:szCs w:val="22"/>
        </w:rPr>
        <w:t xml:space="preserve">La </w:t>
      </w:r>
      <w:r>
        <w:rPr>
          <w:bCs/>
          <w:sz w:val="22"/>
          <w:szCs w:val="22"/>
        </w:rPr>
        <w:t xml:space="preserve">Orden ECD/1172/2022 establece en su Artículo 36 que: </w:t>
      </w:r>
    </w:p>
    <w:p>
      <w:pPr>
        <w:pStyle w:val="Normal"/>
        <w:jc w:val="both"/>
        <w:rPr>
          <w:rFonts w:ascii="Cambria" w:hAnsi="Cambria" w:eastAsia="Cambria" w:cs="Cambria" w:asciiTheme="majorHAnsi" w:hAnsiTheme="majorHAnsi"/>
          <w:i/>
          <w:i/>
        </w:rPr>
      </w:pPr>
      <w:r>
        <w:rPr>
          <w:i/>
          <w:sz w:val="22"/>
          <w:szCs w:val="22"/>
        </w:rPr>
        <w:t>1. La Educación Secundaria Obligatoria se organizará de acuerdo con los principios de educación común y de atención a la diversidad del alumnado. Con objeto de reforzar la inclusión y asegurar el derecho a una educación de calidad, en esta etapa se pondrá especial énfasis en la atención individualizada a los alumnos y a las alumnas, en la detección precoz de sus necesidades específicas y en el establecimiento de mecanismos de apoyo y refuerzo para evitar la permanencia en un mismo curso, particularmente en entornos socialmente vulnerables y teniendo en cuenta sus circunstancias y sus diferentes ritmos de aprendizaje.</w:t>
      </w:r>
    </w:p>
    <w:p>
      <w:pPr>
        <w:pStyle w:val="Normal"/>
        <w:ind w:firstLine="397"/>
        <w:jc w:val="both"/>
        <w:rPr>
          <w:rFonts w:ascii="Cambria" w:hAnsi="Cambria" w:asciiTheme="majorHAnsi" w:hAnsiTheme="majorHAnsi"/>
        </w:rPr>
      </w:pPr>
      <w:r>
        <w:rPr>
          <w:sz w:val="22"/>
          <w:szCs w:val="22"/>
        </w:rPr>
        <w:t xml:space="preserve">De forma que en cualquier caso se debe garantizar que todos los alumnos/as de cada grupo alcancen el máximo desarrollo posible de sus capacidades, utilizando para ello los medios que sean necesarios. En la materia de Física y Química en 3º de ESO se llevarán a cabo las siguientes estrategias para atender a la diversidad del alumnado: </w:t>
      </w:r>
    </w:p>
    <w:p>
      <w:pPr>
        <w:pStyle w:val="Normal"/>
        <w:numPr>
          <w:ilvl w:val="0"/>
          <w:numId w:val="3"/>
        </w:numPr>
        <w:jc w:val="both"/>
        <w:rPr>
          <w:rFonts w:ascii="Cambria" w:hAnsi="Cambria" w:asciiTheme="majorHAnsi" w:hAnsiTheme="majorHAnsi"/>
        </w:rPr>
      </w:pPr>
      <w:r>
        <w:rPr>
          <w:sz w:val="22"/>
          <w:szCs w:val="22"/>
        </w:rPr>
        <w:t xml:space="preserve">Atención individualizada a cada alumno/a: el docente atenderá de forma individual a cada alumno/a durante las clases para orientarlo en sus aprendizajes, para resolver sus dudas y para estar al día de sus progresos. </w:t>
      </w:r>
    </w:p>
    <w:p>
      <w:pPr>
        <w:pStyle w:val="Normal"/>
        <w:numPr>
          <w:ilvl w:val="0"/>
          <w:numId w:val="3"/>
        </w:numPr>
        <w:jc w:val="both"/>
        <w:rPr>
          <w:rFonts w:ascii="Cambria" w:hAnsi="Cambria" w:asciiTheme="majorHAnsi" w:hAnsiTheme="majorHAnsi"/>
        </w:rPr>
      </w:pPr>
      <w:r>
        <w:rPr>
          <w:sz w:val="22"/>
          <w:szCs w:val="22"/>
        </w:rPr>
        <w:t xml:space="preserve">Actividades de refuerzo: para aquellos alumnos/as que muestren dificultades en la adquisición de nuevos aprendizajes se propondrán actividades que sirvan para afianzar los contenidos mínimos de la materia. En este sentido, también se facilitarán a los alumnos/as hojas con ejercicios/problemas y sus soluciones para que puedan repasar de forma autónoma. </w:t>
      </w:r>
    </w:p>
    <w:p>
      <w:pPr>
        <w:pStyle w:val="Normal"/>
        <w:numPr>
          <w:ilvl w:val="0"/>
          <w:numId w:val="3"/>
        </w:numPr>
        <w:jc w:val="both"/>
        <w:rPr>
          <w:rFonts w:ascii="Cambria" w:hAnsi="Cambria" w:asciiTheme="majorHAnsi" w:hAnsiTheme="majorHAnsi"/>
        </w:rPr>
      </w:pPr>
      <w:r>
        <w:rPr>
          <w:sz w:val="22"/>
          <w:szCs w:val="22"/>
        </w:rPr>
        <w:t xml:space="preserve">Actividades de ampliación: serán actividades que impliquen una profundización en los contenidos de la asignatura. Serán de carácter voluntario y su realización podrá implicar un aumento en la calificación de una evaluación de hasta medio punto. </w:t>
      </w:r>
    </w:p>
    <w:p>
      <w:pPr>
        <w:pStyle w:val="Normal"/>
        <w:tabs>
          <w:tab w:val="clear" w:pos="720"/>
          <w:tab w:val="left" w:pos="284" w:leader="none"/>
        </w:tabs>
        <w:ind w:firstLine="284"/>
        <w:jc w:val="both"/>
        <w:rPr>
          <w:rFonts w:ascii="Cambria" w:hAnsi="Cambria" w:asciiTheme="majorHAnsi" w:hAnsiTheme="majorHAnsi"/>
        </w:rPr>
      </w:pPr>
      <w:r>
        <w:rPr>
          <w:sz w:val="22"/>
          <w:szCs w:val="22"/>
        </w:rPr>
        <w:t xml:space="preserve">Mientras que en referencia al alumnado con necesidad específica de apoyo educativo en la Orden ECD/1172/2022 se sostiene que: </w:t>
      </w:r>
    </w:p>
    <w:p>
      <w:pPr>
        <w:pStyle w:val="Normal"/>
        <w:tabs>
          <w:tab w:val="clear" w:pos="720"/>
          <w:tab w:val="left" w:pos="284" w:leader="none"/>
        </w:tabs>
        <w:ind w:firstLine="284"/>
        <w:jc w:val="both"/>
        <w:rPr>
          <w:rFonts w:ascii="Cambria" w:hAnsi="Cambria" w:asciiTheme="majorHAnsi" w:hAnsiTheme="majorHAnsi"/>
          <w:i/>
          <w:i/>
        </w:rPr>
      </w:pPr>
      <w:r>
        <w:rPr>
          <w:i/>
          <w:sz w:val="22"/>
          <w:szCs w:val="22"/>
        </w:rPr>
        <w:t xml:space="preserve">Se adoptarán medidas curriculares y organizativas inclusivas para asegurar que el alumnado con necesidad específica de apoyo educativo pueda alcanzar los objetivos y las competencias de la etapa y el máximo desarrollo de sus capacidades personales. </w:t>
      </w:r>
    </w:p>
    <w:p>
      <w:pPr>
        <w:pStyle w:val="Normal"/>
        <w:tabs>
          <w:tab w:val="clear" w:pos="720"/>
          <w:tab w:val="left" w:pos="284" w:leader="none"/>
        </w:tabs>
        <w:ind w:firstLine="284"/>
        <w:jc w:val="both"/>
        <w:rPr>
          <w:rFonts w:ascii="Cambria" w:hAnsi="Cambria" w:asciiTheme="majorHAnsi" w:hAnsiTheme="majorHAnsi"/>
        </w:rPr>
      </w:pPr>
      <w:r>
        <w:rPr>
          <w:sz w:val="22"/>
          <w:szCs w:val="22"/>
        </w:rPr>
        <w:t>Por tanto, para los alumnos ACNEAES se realizarán las adaptaciones que sean necesarias, tanto generales como específicas, de forma coordinada con el Departamento de Orientación del centro.  En el caso de que haya que elaborar actuaciones específicas de intervención educativa (adaptaciones significativas), se adaptarán los contenidos de la materia así como los criterios y los instrumentos de evaluación a la situación académica del alumno/a. En esos casos, tanto el departamento de Física y Química como el departamento de Orientación dispondrán de una copia de la actuación específica de intervención educativa de la materia.</w:t>
      </w:r>
    </w:p>
    <w:p>
      <w:pPr>
        <w:pStyle w:val="Normal"/>
        <w:tabs>
          <w:tab w:val="clear" w:pos="720"/>
          <w:tab w:val="left" w:pos="284" w:leader="none"/>
        </w:tabs>
        <w:ind w:firstLine="284"/>
        <w:jc w:val="both"/>
        <w:rPr>
          <w:rFonts w:ascii="Calibri" w:hAnsi="Calibri"/>
          <w:sz w:val="22"/>
          <w:szCs w:val="22"/>
        </w:rPr>
      </w:pPr>
      <w:r>
        <w:rPr>
          <w:sz w:val="22"/>
          <w:szCs w:val="22"/>
        </w:rPr>
      </w:r>
    </w:p>
    <w:p>
      <w:pPr>
        <w:pStyle w:val="Normal"/>
        <w:jc w:val="both"/>
        <w:rPr>
          <w:rFonts w:ascii="Cambria" w:hAnsi="Cambria" w:eastAsia="Cambria" w:cs="Cambria" w:asciiTheme="majorHAnsi" w:hAnsiTheme="majorHAnsi"/>
          <w:b/>
          <w:b/>
          <w:u w:val="single"/>
        </w:rPr>
      </w:pPr>
      <w:r>
        <w:rPr>
          <w:rFonts w:eastAsia="Cambria" w:cs="Cambria"/>
          <w:b/>
          <w:sz w:val="22"/>
          <w:szCs w:val="22"/>
          <w:u w:val="single"/>
        </w:rPr>
        <w:t>7. PLAN DE SEGUIMIENTO PARA EL ALUMNADO QUE NO HA PROMOCIONADO</w:t>
      </w:r>
    </w:p>
    <w:p>
      <w:pPr>
        <w:pStyle w:val="Normal"/>
        <w:tabs>
          <w:tab w:val="clear" w:pos="720"/>
          <w:tab w:val="left" w:pos="284" w:leader="none"/>
        </w:tabs>
        <w:ind w:firstLine="284"/>
        <w:jc w:val="both"/>
        <w:rPr>
          <w:rFonts w:ascii="Cambria" w:hAnsi="Cambria" w:asciiTheme="majorHAnsi" w:hAnsiTheme="majorHAnsi"/>
          <w:color w:val="000000"/>
        </w:rPr>
      </w:pPr>
      <w:r>
        <w:rPr>
          <w:color w:val="000000"/>
          <w:sz w:val="22"/>
          <w:szCs w:val="22"/>
        </w:rPr>
        <w:t>El profesor/a de la materia prestará especial atención a los alumnos que, habiendo repetido curso, no hubiesen superado la materia de Física y Química en el año anterior. Como punto de inicio se partirá del informe que el profesor del curso anterior hubiese emitido sobre el alumno/a. Se analizarán los criterios de evaluación no superados para tener una primera aproximación a las dificultades mostradas por el alumno. Con estos datos se prepararán actividades de refuerzo para aquellos contenidos en los que el alumno hubiese mostrado más dificultad. Estas actividades se realizarán en el momento del curso en que se traten dichos contenidos, siempre que el interés, la actitud y el compromiso del alumno/a por la materia sean adecuados. Asimismo, se animará a estos alumnos a que manifiesten en qué puntos concretos encuentran una mayor dificultad, poniéndose el profesor/a de la materia a disposición de los alumnos para resolver todas aquellas dudas que les pudiesen surgir.</w:t>
      </w:r>
    </w:p>
    <w:p>
      <w:pPr>
        <w:pStyle w:val="Normal"/>
        <w:jc w:val="both"/>
        <w:rPr>
          <w:rFonts w:ascii="Calibri" w:hAnsi="Calibri" w:eastAsia="Cambria" w:cs="Cambria"/>
          <w:sz w:val="22"/>
          <w:szCs w:val="22"/>
        </w:rPr>
      </w:pPr>
      <w:r>
        <w:rPr>
          <w:rFonts w:eastAsia="Cambria" w:cs="Cambria"/>
          <w:sz w:val="22"/>
          <w:szCs w:val="22"/>
        </w:rPr>
      </w:r>
    </w:p>
    <w:p>
      <w:pPr>
        <w:pStyle w:val="Normal"/>
        <w:keepNext w:val="true"/>
        <w:jc w:val="both"/>
        <w:rPr>
          <w:rFonts w:ascii="Cambria" w:hAnsi="Cambria" w:eastAsia="Cambria" w:cs="Cambria" w:asciiTheme="majorHAnsi" w:hAnsiTheme="majorHAnsi"/>
          <w:b/>
          <w:b/>
          <w:u w:val="single"/>
        </w:rPr>
      </w:pPr>
      <w:r>
        <w:rPr>
          <w:rFonts w:eastAsia="Cambria" w:cs="Cambria"/>
          <w:b/>
          <w:sz w:val="22"/>
          <w:szCs w:val="22"/>
          <w:u w:val="single"/>
        </w:rPr>
        <w:t>8. PLAN DE REFUERZO PARA MATERIAS O ÁMBITOS NO SUPERADOS</w:t>
      </w:r>
    </w:p>
    <w:p>
      <w:pPr>
        <w:pStyle w:val="Normal"/>
        <w:ind w:firstLine="284"/>
        <w:jc w:val="both"/>
        <w:rPr>
          <w:rFonts w:ascii="Cambria" w:hAnsi="Cambria" w:eastAsia="Cambria" w:cs="Calibri" w:asciiTheme="majorHAnsi" w:cstheme="minorHAnsi" w:hAnsiTheme="majorHAnsi"/>
        </w:rPr>
      </w:pPr>
      <w:r>
        <w:rPr>
          <w:rFonts w:eastAsia="Cambria" w:cs="Calibri" w:cstheme="minorHAnsi"/>
          <w:sz w:val="22"/>
          <w:szCs w:val="22"/>
        </w:rPr>
        <w:t>Según lo establecido en el Artículo 20 de la Orden quienes promocionen sin haber superado todas las materias o ámbitos deberán matricularse de las materias o ámbitos no superados y seguirán los planes de refuerzo personalizados que establezcan los departamentos. Los planes de refuerzo personalizados se organizarán para cada alumno o cada alumna teniendo en cuenta las dificultades de aprendizaje que motivaron la no superación de la materia o ámbito. También se afirma en la legislación que p</w:t>
      </w:r>
      <w:r>
        <w:rPr>
          <w:rFonts w:cs="Calibri" w:cstheme="minorHAnsi"/>
          <w:sz w:val="22"/>
          <w:szCs w:val="22"/>
        </w:rPr>
        <w:t>ara la evaluación de las materias o ámbitos no superados se tendrán en cuenta los progresos que el alumnado realice en las actividades del plan de refuerzo personalizado, así como su evolución en las materias o ámbitos correspondientes en el curso siguiente. Además, l</w:t>
      </w:r>
      <w:r>
        <w:rPr>
          <w:rFonts w:eastAsia="Cambria" w:cs="Calibri" w:cstheme="minorHAnsi"/>
          <w:sz w:val="22"/>
          <w:szCs w:val="22"/>
        </w:rPr>
        <w:t>as familias deberán ser informadas de dicho plan a principio de curso y al menos una vez al trimestre se les informará de los resultados de esta evaluación a través del boletín de notas.</w:t>
      </w:r>
    </w:p>
    <w:p>
      <w:pPr>
        <w:pStyle w:val="Normal"/>
        <w:tabs>
          <w:tab w:val="clear" w:pos="720"/>
          <w:tab w:val="left" w:pos="284" w:leader="none"/>
        </w:tabs>
        <w:ind w:firstLine="284"/>
        <w:jc w:val="both"/>
        <w:rPr>
          <w:rFonts w:ascii="Cambria" w:hAnsi="Cambria" w:cs="Calibri" w:asciiTheme="majorHAnsi" w:cstheme="minorHAnsi" w:hAnsiTheme="majorHAnsi"/>
        </w:rPr>
      </w:pPr>
      <w:r>
        <w:rPr>
          <w:rFonts w:eastAsia="Cambria" w:cs="Calibri" w:cstheme="minorHAnsi"/>
          <w:sz w:val="22"/>
          <w:szCs w:val="22"/>
        </w:rPr>
        <w:t>Por tanto,  a</w:t>
      </w:r>
      <w:r>
        <w:rPr>
          <w:rFonts w:cs="Calibri" w:cstheme="minorHAnsi"/>
          <w:sz w:val="22"/>
          <w:szCs w:val="22"/>
        </w:rPr>
        <w:t xml:space="preserve">quellos alumnos/as que no hayan superado la materia de Física y Química de 3º de ESO y que ahora estén matriculados en algún curso superior, deberán seguir un programa de refuerzo establecido por el departamento para recuperar los aprendizajes no adquiridos y superar las evaluaciones correspondientes a  dicho programa. Este programa contará con las siguientes características: </w:t>
      </w:r>
    </w:p>
    <w:p>
      <w:pPr>
        <w:pStyle w:val="Normal"/>
        <w:numPr>
          <w:ilvl w:val="0"/>
          <w:numId w:val="4"/>
        </w:numPr>
        <w:tabs>
          <w:tab w:val="clear" w:pos="720"/>
          <w:tab w:val="left" w:pos="284" w:leader="none"/>
        </w:tabs>
        <w:jc w:val="both"/>
        <w:rPr>
          <w:rFonts w:ascii="Cambria" w:hAnsi="Cambria" w:asciiTheme="majorHAnsi" w:hAnsiTheme="majorHAnsi"/>
          <w:color w:val="000000"/>
        </w:rPr>
      </w:pPr>
      <w:r>
        <w:rPr>
          <w:color w:val="000000"/>
          <w:sz w:val="22"/>
          <w:szCs w:val="22"/>
        </w:rPr>
        <w:t xml:space="preserve">A principio de curso se informará a cada alumno/a en esta situación de las fechas de las pruebas (una por evaluación) y se le facilitará un dossier de actividades relacionadas con los criterios de evaluación que deberá realizar para poder recuperar los criterios de cada evaluación. Cada alumno/a firmará el acuse de recibo una vez que haya recibido esta documentación, quedando registrado en el departamento. </w:t>
      </w:r>
    </w:p>
    <w:p>
      <w:pPr>
        <w:pStyle w:val="Normal"/>
        <w:numPr>
          <w:ilvl w:val="0"/>
          <w:numId w:val="4"/>
        </w:numPr>
        <w:tabs>
          <w:tab w:val="clear" w:pos="720"/>
          <w:tab w:val="left" w:pos="284" w:leader="none"/>
        </w:tabs>
        <w:jc w:val="both"/>
        <w:rPr>
          <w:rFonts w:ascii="Cambria" w:hAnsi="Cambria" w:asciiTheme="majorHAnsi" w:hAnsiTheme="majorHAnsi"/>
          <w:color w:val="000000"/>
        </w:rPr>
      </w:pPr>
      <w:r>
        <w:rPr>
          <w:color w:val="000000"/>
          <w:sz w:val="22"/>
          <w:szCs w:val="22"/>
        </w:rPr>
        <w:t xml:space="preserve">El jefe de departamento informará al principio del curso a las familias de los alumnos/as que se encuentren en esta situación del funcionamiento del programa de refuerzo y de la fecha de la prueba escrita correspondiente a la primera evaluación. </w:t>
      </w:r>
    </w:p>
    <w:p>
      <w:pPr>
        <w:pStyle w:val="Normal"/>
        <w:numPr>
          <w:ilvl w:val="0"/>
          <w:numId w:val="4"/>
        </w:numPr>
        <w:tabs>
          <w:tab w:val="clear" w:pos="720"/>
          <w:tab w:val="left" w:pos="284" w:leader="none"/>
        </w:tabs>
        <w:jc w:val="both"/>
        <w:rPr>
          <w:rFonts w:ascii="Cambria" w:hAnsi="Cambria" w:asciiTheme="majorHAnsi" w:hAnsiTheme="majorHAnsi"/>
          <w:color w:val="000000"/>
        </w:rPr>
      </w:pPr>
      <w:r>
        <w:rPr>
          <w:color w:val="000000"/>
          <w:sz w:val="22"/>
          <w:szCs w:val="22"/>
        </w:rPr>
        <w:t xml:space="preserve">El jefe de departamento y los profesores de la materia en 3º de ESO, estarán a disposición de estos alumnos/as para resolver las dudas que pudieran tener durante la elaboración de los dosieres. Las dudas se resolverán bien en el aula, bien por vía telemática o concertando una cita previa con el docente en un recreo.  </w:t>
      </w:r>
    </w:p>
    <w:p>
      <w:pPr>
        <w:pStyle w:val="Normal"/>
        <w:numPr>
          <w:ilvl w:val="0"/>
          <w:numId w:val="4"/>
        </w:numPr>
        <w:tabs>
          <w:tab w:val="clear" w:pos="720"/>
          <w:tab w:val="left" w:pos="284" w:leader="none"/>
        </w:tabs>
        <w:jc w:val="both"/>
        <w:rPr>
          <w:rFonts w:ascii="Cambria" w:hAnsi="Cambria" w:asciiTheme="majorHAnsi" w:hAnsiTheme="majorHAnsi"/>
          <w:color w:val="000000"/>
        </w:rPr>
      </w:pPr>
      <w:r>
        <w:rPr>
          <w:color w:val="000000"/>
          <w:sz w:val="22"/>
          <w:szCs w:val="22"/>
        </w:rPr>
        <w:t xml:space="preserve">Si se considera oportuno, el jefe de departamento puede convocar de manera voluntaria a los alumnos/as con la materia no superada  para la realización de clases breves de repaso. </w:t>
      </w:r>
    </w:p>
    <w:p>
      <w:pPr>
        <w:pStyle w:val="Normal"/>
        <w:numPr>
          <w:ilvl w:val="0"/>
          <w:numId w:val="4"/>
        </w:numPr>
        <w:tabs>
          <w:tab w:val="clear" w:pos="720"/>
          <w:tab w:val="left" w:pos="284" w:leader="none"/>
        </w:tabs>
        <w:jc w:val="both"/>
        <w:rPr>
          <w:rFonts w:ascii="Cambria" w:hAnsi="Cambria" w:asciiTheme="majorHAnsi" w:hAnsiTheme="majorHAnsi"/>
          <w:color w:val="000000"/>
        </w:rPr>
      </w:pPr>
      <w:r>
        <w:rPr>
          <w:color w:val="000000"/>
          <w:sz w:val="22"/>
          <w:szCs w:val="22"/>
        </w:rPr>
        <w:t xml:space="preserve">El dossier de ejercicios de cada evaluación será entregado en forma y fecha a través de Google Classroom y corregido por el jefe de departamento. La calificación obtenida en dicho dossier tendrá una repercusión del 30 % en la calificación de la evaluación correspondiente. </w:t>
        <w:tab/>
        <w:tab/>
      </w:r>
    </w:p>
    <w:p>
      <w:pPr>
        <w:pStyle w:val="Normal"/>
        <w:numPr>
          <w:ilvl w:val="0"/>
          <w:numId w:val="4"/>
        </w:numPr>
        <w:tabs>
          <w:tab w:val="clear" w:pos="720"/>
          <w:tab w:val="left" w:pos="284" w:leader="none"/>
        </w:tabs>
        <w:jc w:val="both"/>
        <w:rPr>
          <w:rFonts w:ascii="Cambria" w:hAnsi="Cambria" w:asciiTheme="majorHAnsi" w:hAnsiTheme="majorHAnsi"/>
          <w:color w:val="000000"/>
        </w:rPr>
      </w:pPr>
      <w:r>
        <w:rPr>
          <w:color w:val="000000"/>
          <w:sz w:val="22"/>
          <w:szCs w:val="22"/>
        </w:rPr>
        <w:t xml:space="preserve">La </w:t>
        <w:tab/>
        <w:t xml:space="preserve">prueba escrita que tendrá lugar en cada evaluación en una fecha que se publicará con suficiente anterioridad tendrá un peso en la calificación de la evaluación del 70 %.  </w:t>
        <w:tab/>
      </w:r>
    </w:p>
    <w:p>
      <w:pPr>
        <w:pStyle w:val="Normal"/>
        <w:numPr>
          <w:ilvl w:val="0"/>
          <w:numId w:val="4"/>
        </w:numPr>
        <w:tabs>
          <w:tab w:val="clear" w:pos="720"/>
          <w:tab w:val="left" w:pos="284" w:leader="none"/>
        </w:tabs>
        <w:spacing w:before="200" w:after="240"/>
        <w:jc w:val="both"/>
        <w:rPr>
          <w:rFonts w:ascii="Cambria" w:hAnsi="Cambria" w:asciiTheme="majorHAnsi" w:hAnsiTheme="majorHAnsi"/>
          <w:color w:val="000000"/>
        </w:rPr>
      </w:pPr>
      <w:r>
        <w:rPr>
          <w:color w:val="000000"/>
          <w:sz w:val="22"/>
          <w:szCs w:val="22"/>
        </w:rPr>
        <w:t xml:space="preserve">Será necesaria la obtención de una calificación mínima de 5 para poder considerar una evaluación como superada. Si el promedio de las calificaciones de las evaluaciones es superior a 5, se considerará que la materia ha sido superada en la evaluación final. </w:t>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mbria" w:hAnsi="Cambria" w:eastAsia="Cambria" w:cs="Cambria" w:asciiTheme="majorHAnsi" w:hAnsiTheme="majorHAnsi"/>
          <w:b/>
          <w:b/>
          <w:u w:val="single"/>
        </w:rPr>
      </w:pPr>
      <w:r>
        <w:rPr>
          <w:rFonts w:eastAsia="Cambria" w:cs="Cambria"/>
          <w:b/>
          <w:sz w:val="22"/>
          <w:szCs w:val="22"/>
          <w:u w:val="single"/>
        </w:rPr>
        <w:t>9. ESTRATEGIAS DIDÁCTICAS Y METODOLÓGICAS</w:t>
      </w:r>
    </w:p>
    <w:p>
      <w:pPr>
        <w:pStyle w:val="Normal"/>
        <w:tabs>
          <w:tab w:val="clear" w:pos="720"/>
          <w:tab w:val="left" w:pos="284" w:leader="none"/>
        </w:tabs>
        <w:ind w:firstLine="284"/>
        <w:jc w:val="both"/>
        <w:rPr>
          <w:rFonts w:ascii="Cambria" w:hAnsi="Cambria" w:asciiTheme="majorHAnsi" w:hAnsiTheme="majorHAnsi"/>
          <w:color w:val="000000"/>
        </w:rPr>
      </w:pPr>
      <w:r>
        <w:rPr>
          <w:color w:val="000000"/>
          <w:sz w:val="22"/>
          <w:szCs w:val="22"/>
        </w:rPr>
        <w:t>La materia de Física y Química tiene como finalidad dotar a los alumnos de una cultura científica básica y capacidad para conocer el mundo que nos rodea y sus fenómenos, preparándose como futuros ciudadanos de una sociedad estrechamente ligada a la ciencia y a sus avances.</w:t>
      </w:r>
    </w:p>
    <w:p>
      <w:pPr>
        <w:pStyle w:val="Normal"/>
        <w:ind w:firstLine="283"/>
        <w:jc w:val="both"/>
        <w:rPr>
          <w:rFonts w:ascii="Cambria" w:hAnsi="Cambria" w:asciiTheme="majorHAnsi" w:hAnsiTheme="majorHAnsi"/>
          <w:color w:val="000000"/>
        </w:rPr>
      </w:pPr>
      <w:r>
        <w:rPr>
          <w:color w:val="000000"/>
          <w:sz w:val="22"/>
          <w:szCs w:val="22"/>
        </w:rPr>
        <w:t xml:space="preserve">Los alumnos/as de 3º de ESO de Física y Química están habituados a recibir multitud de estímulos diariamente de forma muy atractiva y visual, por tanto, resulta fundamental intentar motivar y captar la atención del alumnado a través de la metodología que se desarrolle en el aula. En este sentido, las estrategias principales que se llevarán a cabo en la materia de Física y Química son las siguientes: </w:t>
      </w:r>
    </w:p>
    <w:p>
      <w:pPr>
        <w:pStyle w:val="Normal"/>
        <w:numPr>
          <w:ilvl w:val="0"/>
          <w:numId w:val="5"/>
        </w:numPr>
        <w:jc w:val="both"/>
        <w:rPr>
          <w:rFonts w:ascii="Cambria" w:hAnsi="Cambria" w:asciiTheme="majorHAnsi" w:hAnsiTheme="majorHAnsi"/>
          <w:color w:val="000000"/>
        </w:rPr>
      </w:pPr>
      <w:r>
        <w:rPr>
          <w:b/>
          <w:color w:val="000000"/>
          <w:sz w:val="22"/>
          <w:szCs w:val="22"/>
        </w:rPr>
        <w:t>Entornos digitales</w:t>
      </w:r>
      <w:r>
        <w:rPr>
          <w:color w:val="000000"/>
          <w:sz w:val="22"/>
          <w:szCs w:val="22"/>
        </w:rPr>
        <w:t xml:space="preserve">: los alumnos/as están familiarizados con diferentes soportes digitales, a través de los cuáles, se comunican y reciben información con mucha frecuencia. Por esta razón, en las clases de Física y Química se utilizarán simulaciones por ordenador de procesos físicos, vídeos de Youtube con contenido científico, del mismo modo que se hará uso de herramientas digitales para recursos y cuestionarios (Aramoodle, Kahoot, Google Classroom, etc). Al utilizar estos elementos digitales el alumno/a se siente más cómodo ya que es un contexto que le resulta familiar, y a la vez hace posible que su motivación aumente.  </w:t>
      </w:r>
    </w:p>
    <w:p>
      <w:pPr>
        <w:pStyle w:val="Normal"/>
        <w:numPr>
          <w:ilvl w:val="0"/>
          <w:numId w:val="5"/>
        </w:numPr>
        <w:jc w:val="both"/>
        <w:rPr>
          <w:rFonts w:ascii="Cambria" w:hAnsi="Cambria" w:asciiTheme="majorHAnsi" w:hAnsiTheme="majorHAnsi"/>
          <w:color w:val="000000"/>
        </w:rPr>
      </w:pPr>
      <w:r>
        <w:rPr>
          <w:b/>
          <w:color w:val="000000"/>
          <w:sz w:val="22"/>
          <w:szCs w:val="22"/>
        </w:rPr>
        <w:t>Actividades variadas</w:t>
      </w:r>
      <w:r>
        <w:rPr>
          <w:color w:val="000000"/>
          <w:sz w:val="22"/>
          <w:szCs w:val="22"/>
        </w:rPr>
        <w:t xml:space="preserve">: para evitar una pérdida de atención por parte del alumnado durante las clases, se considera conveniente realizar diferentes actividades a lo largo de cualquier sesión de forma que la sesión de Física y Química sea variada y no absolutamente previsible para el alumnado.  </w:t>
      </w:r>
    </w:p>
    <w:p>
      <w:pPr>
        <w:pStyle w:val="Normal"/>
        <w:numPr>
          <w:ilvl w:val="0"/>
          <w:numId w:val="5"/>
        </w:numPr>
        <w:jc w:val="both"/>
        <w:rPr>
          <w:rFonts w:ascii="Cambria" w:hAnsi="Cambria" w:asciiTheme="majorHAnsi" w:hAnsiTheme="majorHAnsi"/>
          <w:color w:val="000000"/>
        </w:rPr>
      </w:pPr>
      <w:r>
        <w:rPr>
          <w:b/>
          <w:color w:val="000000"/>
          <w:sz w:val="22"/>
          <w:szCs w:val="22"/>
        </w:rPr>
        <w:t>Actividades contextualizadas</w:t>
      </w:r>
      <w:r>
        <w:rPr>
          <w:color w:val="000000"/>
          <w:sz w:val="22"/>
          <w:szCs w:val="22"/>
        </w:rPr>
        <w:t xml:space="preserve">: siempre que se exponga cualquier contenido de la materia o se realicen actividades en el aula, se elegirán ejemplos propios de la vida cotidiana de los alumnos/as, de cara a facilitar la comprensión de nuevos conceptos a partir de las experiencias que ya tienen y de lo que ya saben. </w:t>
      </w:r>
    </w:p>
    <w:p>
      <w:pPr>
        <w:pStyle w:val="Normal"/>
        <w:numPr>
          <w:ilvl w:val="0"/>
          <w:numId w:val="5"/>
        </w:numPr>
        <w:tabs>
          <w:tab w:val="clear" w:pos="720"/>
          <w:tab w:val="left" w:pos="284" w:leader="none"/>
        </w:tabs>
        <w:ind w:left="709" w:hanging="425"/>
        <w:jc w:val="both"/>
        <w:rPr>
          <w:rFonts w:ascii="Cambria" w:hAnsi="Cambria" w:asciiTheme="majorHAnsi" w:hAnsiTheme="majorHAnsi"/>
          <w:color w:val="000000"/>
        </w:rPr>
      </w:pPr>
      <w:r>
        <w:rPr>
          <w:b/>
          <w:color w:val="000000"/>
          <w:sz w:val="22"/>
          <w:szCs w:val="22"/>
        </w:rPr>
        <w:t>Buen clima de clase</w:t>
      </w:r>
      <w:r>
        <w:rPr>
          <w:color w:val="000000"/>
          <w:sz w:val="22"/>
          <w:szCs w:val="22"/>
        </w:rPr>
        <w:t xml:space="preserve">: consiste en que los alumnos/as comprendan que la labor del docente es que adquieran una serie de contenidos que vienen establecidos por la legislación y que se formen como personas capaces de insertarse en un futuro en la sociedad. Esto hará posible un clima de clase más agradable, de forma que el rendimiento académico de los alumnos/as será mayor. </w:t>
      </w:r>
    </w:p>
    <w:p>
      <w:pPr>
        <w:pStyle w:val="Normal"/>
        <w:numPr>
          <w:ilvl w:val="0"/>
          <w:numId w:val="5"/>
        </w:numPr>
        <w:tabs>
          <w:tab w:val="clear" w:pos="720"/>
          <w:tab w:val="left" w:pos="284" w:leader="none"/>
        </w:tabs>
        <w:ind w:left="709" w:hanging="425"/>
        <w:jc w:val="both"/>
        <w:rPr>
          <w:rFonts w:ascii="Cambria" w:hAnsi="Cambria" w:asciiTheme="majorHAnsi" w:hAnsiTheme="majorHAnsi"/>
          <w:color w:val="000000"/>
        </w:rPr>
      </w:pPr>
      <w:r>
        <w:rPr>
          <w:b/>
          <w:color w:val="000000"/>
          <w:sz w:val="22"/>
          <w:szCs w:val="22"/>
        </w:rPr>
        <w:t>Laboratorio de Física y química</w:t>
      </w:r>
      <w:r>
        <w:rPr>
          <w:color w:val="000000"/>
          <w:sz w:val="22"/>
          <w:szCs w:val="22"/>
        </w:rPr>
        <w:t xml:space="preserve">: durante la Educación Secundaria Obligatoria, se considera fundamental que el alumnado adquiera unas bases procedimentales  respecto al trabajo en el laboratorio, ya que esas bases afianzarán lo trabajado en el aula y permitirán que el alumno/a comprenda como se genera el conocimiento científico y como se trabaja en un laboratorio de ciencias. </w:t>
      </w:r>
    </w:p>
    <w:p>
      <w:pPr>
        <w:pStyle w:val="Normal"/>
        <w:keepNext w:val="true"/>
        <w:jc w:val="both"/>
        <w:rPr>
          <w:rFonts w:ascii="Calibri" w:hAnsi="Calibri" w:eastAsia="Cambria" w:cs="Cambria"/>
          <w:sz w:val="22"/>
          <w:szCs w:val="22"/>
        </w:rPr>
      </w:pPr>
      <w:r>
        <w:rPr>
          <w:rFonts w:eastAsia="Cambria" w:cs="Cambria"/>
          <w:sz w:val="22"/>
          <w:szCs w:val="22"/>
        </w:rPr>
      </w:r>
    </w:p>
    <w:p>
      <w:pPr>
        <w:pStyle w:val="Normal"/>
        <w:jc w:val="both"/>
        <w:rPr>
          <w:rFonts w:ascii="Cambria" w:hAnsi="Cambria" w:eastAsia="Cambria" w:cs="Cambria" w:asciiTheme="majorHAnsi" w:hAnsiTheme="majorHAnsi"/>
          <w:b/>
          <w:b/>
          <w:u w:val="single"/>
        </w:rPr>
      </w:pPr>
      <w:r>
        <w:rPr>
          <w:rFonts w:eastAsia="Cambria" w:cs="Cambria"/>
          <w:b/>
          <w:sz w:val="22"/>
          <w:szCs w:val="22"/>
          <w:u w:val="single"/>
        </w:rPr>
        <w:t>10. CONCRECIÓN DEL PLAN LECTOR</w:t>
      </w:r>
    </w:p>
    <w:p>
      <w:pPr>
        <w:pStyle w:val="Normal"/>
        <w:tabs>
          <w:tab w:val="clear" w:pos="720"/>
          <w:tab w:val="left" w:pos="284" w:leader="none"/>
        </w:tabs>
        <w:ind w:firstLine="284"/>
        <w:jc w:val="both"/>
        <w:rPr>
          <w:rFonts w:ascii="Cambria" w:hAnsi="Cambria" w:asciiTheme="majorHAnsi" w:hAnsiTheme="majorHAnsi"/>
        </w:rPr>
      </w:pPr>
      <w:r>
        <w:rPr>
          <w:sz w:val="22"/>
          <w:szCs w:val="22"/>
        </w:rPr>
        <w:t xml:space="preserve">Dado que es fundamental la competencia en comunicación lingüística en la formación del alumnado, en el Plan Lector específico de la materia de Física y Química en 3º de ESO se llevarán a cabo las siguientes medidas: </w:t>
      </w:r>
    </w:p>
    <w:p>
      <w:pPr>
        <w:pStyle w:val="Normal"/>
        <w:numPr>
          <w:ilvl w:val="0"/>
          <w:numId w:val="6"/>
        </w:numPr>
        <w:tabs>
          <w:tab w:val="clear" w:pos="720"/>
          <w:tab w:val="left" w:pos="284" w:leader="none"/>
        </w:tabs>
        <w:jc w:val="both"/>
        <w:rPr>
          <w:rFonts w:ascii="Cambria" w:hAnsi="Cambria" w:asciiTheme="majorHAnsi" w:hAnsiTheme="majorHAnsi"/>
        </w:rPr>
      </w:pPr>
      <w:r>
        <w:rPr>
          <w:sz w:val="22"/>
          <w:szCs w:val="22"/>
        </w:rPr>
        <w:t xml:space="preserve">Lectura de textos relacionados con el conocimiento científico y las relaciones entre ciencia, tecnología y sociedad en la UD 1. La ciencia y la medida y en la UD 4. El átomo. Posteriormente se realizarán actividades de comprensión, así como el planteamiento de preguntas relacionadas con el texto que puedan afectar a la vida cotidiana de los alumnos/as o que puedan suscitar determinados debates. </w:t>
      </w:r>
    </w:p>
    <w:p>
      <w:pPr>
        <w:pStyle w:val="Normal"/>
        <w:numPr>
          <w:ilvl w:val="0"/>
          <w:numId w:val="6"/>
        </w:numPr>
        <w:tabs>
          <w:tab w:val="clear" w:pos="720"/>
          <w:tab w:val="left" w:pos="284" w:leader="none"/>
        </w:tabs>
        <w:jc w:val="both"/>
        <w:rPr>
          <w:rFonts w:ascii="Cambria" w:hAnsi="Cambria" w:asciiTheme="majorHAnsi" w:hAnsiTheme="majorHAnsi"/>
        </w:rPr>
      </w:pPr>
      <w:r>
        <w:rPr>
          <w:sz w:val="22"/>
          <w:szCs w:val="22"/>
        </w:rPr>
        <w:t xml:space="preserve">Se leerán en determinadas unidades didácticas fragmentos de libros de divulgación científica facilitados por el docente. Estos fragmentos abordan algunos de los contenidos de la asignatura de una forma diferente y amena, pudiendo suscitar el interés por la lectura de dichos libros fuera del horario escolar por parte de los alumnos/as. En esta línea, resultan especialmente interesantes las biografías de grandes científicos/as como Marie Curie y Antoine-Laurent Lavoisier. Dado que algunos ejemplares de este tipo de libros se encuentran disponibles en la biblioteca del centro, se podrá considerar como una actividad de ampliación voluntaria la lectura y comprensión de algunos capítulos de estos ejemplares. </w:t>
      </w:r>
    </w:p>
    <w:p>
      <w:pPr>
        <w:pStyle w:val="Normal"/>
        <w:tabs>
          <w:tab w:val="clear" w:pos="720"/>
          <w:tab w:val="left" w:pos="284" w:leader="none"/>
        </w:tabs>
        <w:ind w:firstLine="284"/>
        <w:jc w:val="both"/>
        <w:rPr>
          <w:rFonts w:ascii="Cambria" w:hAnsi="Cambria" w:asciiTheme="majorHAnsi" w:hAnsiTheme="majorHAnsi"/>
        </w:rPr>
      </w:pPr>
      <w:r>
        <w:rPr>
          <w:sz w:val="22"/>
          <w:szCs w:val="22"/>
        </w:rPr>
        <w:t>La presentación de los trabajos tanto escritos como orales se realizará siguiendo las pautas y recomendaciones recogidas en el Proyecto Lingüístico del centro.</w:t>
      </w:r>
    </w:p>
    <w:p>
      <w:pPr>
        <w:pStyle w:val="Normal"/>
        <w:jc w:val="both"/>
        <w:rPr>
          <w:rFonts w:ascii="Cambria" w:hAnsi="Cambria" w:eastAsia="Cambria" w:cs="Cambria" w:asciiTheme="majorHAnsi" w:hAnsiTheme="majorHAnsi"/>
          <w:b/>
          <w:b/>
          <w:u w:val="single"/>
        </w:rPr>
      </w:pPr>
      <w:r>
        <w:rPr>
          <w:rFonts w:eastAsia="Cambria" w:cs="Cambria"/>
          <w:b/>
          <w:sz w:val="22"/>
          <w:szCs w:val="22"/>
          <w:u w:val="single"/>
        </w:rPr>
        <w:t>11. CONCRECIÓN DEL PLAN DE IMPLEMENTACIÓN DE ELEMENTOS TRANSVERSALES</w:t>
      </w:r>
    </w:p>
    <w:p>
      <w:pPr>
        <w:pStyle w:val="Normal"/>
        <w:ind w:firstLine="284"/>
        <w:jc w:val="both"/>
        <w:rPr>
          <w:rFonts w:ascii="Cambria" w:hAnsi="Cambria" w:asciiTheme="majorHAnsi" w:hAnsiTheme="majorHAnsi"/>
        </w:rPr>
      </w:pPr>
      <w:r>
        <w:rPr>
          <w:sz w:val="22"/>
          <w:szCs w:val="22"/>
        </w:rPr>
        <w:t xml:space="preserve">La legislación establece una serie de elementos transversales que deben ser tratados en todas las materias de la Educación Secundaria y que contribuyen a la formación de los alumnos más allá de los contenidos curriculares. En la materia de Física y Química en 3º de ESO se trabajarán los siguientes elementos transversales de entre los recogidos en el Plan de implementación de elementos transversales contenido en el Proyecto Curricular de Etapa del centro: </w:t>
      </w:r>
    </w:p>
    <w:p>
      <w:pPr>
        <w:pStyle w:val="Normal"/>
        <w:numPr>
          <w:ilvl w:val="0"/>
          <w:numId w:val="7"/>
        </w:numPr>
        <w:spacing w:lineRule="auto" w:line="288" w:before="40" w:after="40"/>
        <w:jc w:val="both"/>
        <w:rPr>
          <w:rFonts w:ascii="Cambria" w:hAnsi="Cambria" w:asciiTheme="majorHAnsi" w:hAnsiTheme="majorHAnsi"/>
        </w:rPr>
      </w:pPr>
      <w:r>
        <w:rPr>
          <w:sz w:val="22"/>
          <w:szCs w:val="22"/>
          <w:u w:val="single"/>
        </w:rPr>
        <w:t>Respeto a los derechos humanos</w:t>
      </w:r>
      <w:r>
        <w:rPr>
          <w:sz w:val="22"/>
          <w:szCs w:val="22"/>
        </w:rPr>
        <w:t xml:space="preserve">: en la UD 1 titulada La ciencia y la medida se hace referencia al desarrollo científico y a sus repercusiones en la sociedad, de forma que se puede poner de relieve que cualquier avance científico debe respetar los derechos humanos. También en la UD 4 (El átomo) al abordarse las aplicaciones de las sustancias radiactivas, se pondrá de relieve la importancia de respetar los derechos humanos (evitar la proliferación de armamento nuclear). </w:t>
      </w:r>
    </w:p>
    <w:p>
      <w:pPr>
        <w:pStyle w:val="Normal"/>
        <w:numPr>
          <w:ilvl w:val="0"/>
          <w:numId w:val="7"/>
        </w:numPr>
        <w:spacing w:lineRule="auto" w:line="288" w:before="40" w:after="40"/>
        <w:jc w:val="both"/>
        <w:rPr>
          <w:rFonts w:ascii="Cambria" w:hAnsi="Cambria" w:asciiTheme="majorHAnsi" w:hAnsiTheme="majorHAnsi"/>
        </w:rPr>
      </w:pPr>
      <w:r>
        <w:rPr>
          <w:sz w:val="22"/>
          <w:szCs w:val="22"/>
          <w:u w:val="single"/>
        </w:rPr>
        <w:t>Educación ambiental</w:t>
      </w:r>
      <w:r>
        <w:rPr>
          <w:sz w:val="22"/>
          <w:szCs w:val="22"/>
        </w:rPr>
        <w:t xml:space="preserve">: en las UD 4 (El átomo) y 6 (Las reacciones químicas) se tratarán las relaciones entre la química, la sociedad y el medio ambiente.   </w:t>
      </w:r>
    </w:p>
    <w:p>
      <w:pPr>
        <w:pStyle w:val="Normal"/>
        <w:numPr>
          <w:ilvl w:val="0"/>
          <w:numId w:val="7"/>
        </w:numPr>
        <w:spacing w:lineRule="auto" w:line="288" w:before="40" w:after="40"/>
        <w:jc w:val="both"/>
        <w:rPr>
          <w:rFonts w:ascii="Cambria" w:hAnsi="Cambria" w:asciiTheme="majorHAnsi" w:hAnsiTheme="majorHAnsi"/>
        </w:rPr>
      </w:pPr>
      <w:r>
        <w:rPr>
          <w:sz w:val="22"/>
          <w:szCs w:val="22"/>
          <w:u w:val="single"/>
        </w:rPr>
        <w:t>Educación para la salud</w:t>
      </w:r>
      <w:r>
        <w:rPr>
          <w:sz w:val="22"/>
          <w:szCs w:val="22"/>
        </w:rPr>
        <w:t xml:space="preserve">: en la UD 4 (El átomo) se indicarán las aplicaciones en medicina de los isótopos radiactivos, tanto en el diagnóstico como en el tratamiento de diferentes enfermedades. </w:t>
      </w:r>
    </w:p>
    <w:p>
      <w:pPr>
        <w:pStyle w:val="Normal"/>
        <w:numPr>
          <w:ilvl w:val="0"/>
          <w:numId w:val="7"/>
        </w:numPr>
        <w:spacing w:lineRule="auto" w:line="288" w:before="40" w:after="40"/>
        <w:jc w:val="both"/>
        <w:rPr>
          <w:rFonts w:ascii="Cambria" w:hAnsi="Cambria" w:asciiTheme="majorHAnsi" w:hAnsiTheme="majorHAnsi"/>
        </w:rPr>
      </w:pPr>
      <w:r>
        <w:rPr>
          <w:sz w:val="22"/>
          <w:szCs w:val="22"/>
          <w:u w:val="single"/>
        </w:rPr>
        <w:t>Comprensión y expresión escrita</w:t>
      </w:r>
      <w:r>
        <w:rPr>
          <w:sz w:val="22"/>
          <w:szCs w:val="22"/>
        </w:rPr>
        <w:t xml:space="preserve">: a lo largo del curso se leerán textos con contenido científico en el aula y se trabajará su comprensión. Además, se propondrá la lectura de determinados fragmentos de libros de divulgación científica que pueden resultar interesantes y con gran potencial formativo para los alumnos/as. </w:t>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mbria" w:hAnsi="Cambria" w:eastAsia="Cambria" w:cs="Cambria" w:asciiTheme="majorHAnsi" w:hAnsiTheme="majorHAnsi"/>
          <w:b/>
          <w:b/>
          <w:u w:val="single"/>
        </w:rPr>
      </w:pPr>
      <w:r>
        <w:rPr>
          <w:rFonts w:eastAsia="Cambria" w:cs="Cambria"/>
          <w:b/>
          <w:sz w:val="22"/>
          <w:szCs w:val="22"/>
          <w:u w:val="single"/>
        </w:rPr>
        <w:t xml:space="preserve">12. CONCRECIÓN DEL PLAN DE UTILIZACIÓN DE LAS TECNOLOGÍAS DIGITALES </w:t>
      </w:r>
    </w:p>
    <w:p>
      <w:pPr>
        <w:pStyle w:val="Normal"/>
        <w:spacing w:lineRule="auto" w:line="288"/>
        <w:ind w:firstLine="284"/>
        <w:jc w:val="both"/>
        <w:rPr>
          <w:rFonts w:ascii="Cambria" w:hAnsi="Cambria" w:eastAsia="Cambria" w:cs="Cambria" w:asciiTheme="majorHAnsi" w:hAnsiTheme="majorHAnsi"/>
        </w:rPr>
      </w:pPr>
      <w:r>
        <w:rPr>
          <w:rFonts w:eastAsia="Cambria" w:cs="Cambria"/>
          <w:sz w:val="22"/>
          <w:szCs w:val="22"/>
        </w:rPr>
        <w:t xml:space="preserve">El Plan de utilización de las Tecnologías digitales contenido en el Proyecto Curricular de Etapa del centro establece que la finalidad debe ser hacer de las TIC una herramienta de uso habitual que permita mejorar los procesos de enseñanza-aprendizaje del alumnado. En este sentido, en la materia de Física y química de 3º de ESO se aplicarán las siguientes medidas: </w:t>
      </w:r>
    </w:p>
    <w:p>
      <w:pPr>
        <w:pStyle w:val="ListParagraph"/>
        <w:numPr>
          <w:ilvl w:val="0"/>
          <w:numId w:val="9"/>
        </w:numPr>
        <w:ind w:left="567" w:hanging="283"/>
        <w:jc w:val="both"/>
        <w:rPr>
          <w:rFonts w:ascii="Cambria" w:hAnsi="Cambria" w:eastAsia="Cambria" w:cs="Cambria" w:asciiTheme="majorHAnsi" w:hAnsiTheme="majorHAnsi"/>
        </w:rPr>
      </w:pPr>
      <w:r>
        <w:rPr>
          <w:rFonts w:eastAsia="Cambria" w:cs="Cambria"/>
          <w:sz w:val="22"/>
          <w:szCs w:val="22"/>
        </w:rPr>
        <w:t>Potenciar el uso de las TIC como herramienta educativa, medio de apoyo y refuerzo en el aprendizaje del alumnado.</w:t>
      </w:r>
    </w:p>
    <w:p>
      <w:pPr>
        <w:pStyle w:val="ListParagraph"/>
        <w:numPr>
          <w:ilvl w:val="0"/>
          <w:numId w:val="9"/>
        </w:numPr>
        <w:ind w:left="567" w:hanging="283"/>
        <w:jc w:val="both"/>
        <w:rPr>
          <w:rFonts w:ascii="Cambria" w:hAnsi="Cambria" w:eastAsia="Cambria" w:cs="Cambria" w:asciiTheme="majorHAnsi" w:hAnsiTheme="majorHAnsi"/>
        </w:rPr>
      </w:pPr>
      <w:r>
        <w:rPr>
          <w:rFonts w:eastAsia="Cambria" w:cs="Cambria"/>
          <w:sz w:val="22"/>
          <w:szCs w:val="22"/>
        </w:rPr>
        <w:t>Utilizar con las TIC como fuente de información, favoreciendo en el alumnado el espíritu crítico en la búsqueda y tratamiento de la información obtenida en Internet.</w:t>
      </w:r>
    </w:p>
    <w:p>
      <w:pPr>
        <w:pStyle w:val="ListParagraph"/>
        <w:numPr>
          <w:ilvl w:val="0"/>
          <w:numId w:val="9"/>
        </w:numPr>
        <w:ind w:left="567" w:hanging="283"/>
        <w:jc w:val="both"/>
        <w:rPr>
          <w:rFonts w:ascii="Cambria" w:hAnsi="Cambria" w:eastAsia="Cambria" w:cs="Cambria" w:asciiTheme="majorHAnsi" w:hAnsiTheme="majorHAnsi"/>
        </w:rPr>
      </w:pPr>
      <w:r>
        <w:rPr>
          <w:rFonts w:eastAsia="Cambria" w:cs="Cambria"/>
          <w:sz w:val="22"/>
          <w:szCs w:val="22"/>
        </w:rPr>
        <w:t>Potenciar entre el alumnado el uso el ordenador como medio de investigación para ampliar conocimientos y elaborar trabajos.</w:t>
      </w:r>
    </w:p>
    <w:p>
      <w:pPr>
        <w:pStyle w:val="ListParagraph"/>
        <w:numPr>
          <w:ilvl w:val="0"/>
          <w:numId w:val="9"/>
        </w:numPr>
        <w:ind w:left="567" w:hanging="283"/>
        <w:jc w:val="both"/>
        <w:rPr>
          <w:rFonts w:ascii="Cambria" w:hAnsi="Cambria" w:eastAsia="Cambria" w:cs="Cambria" w:asciiTheme="majorHAnsi" w:hAnsiTheme="majorHAnsi"/>
        </w:rPr>
      </w:pPr>
      <w:r>
        <w:rPr>
          <w:rFonts w:eastAsia="Cambria" w:cs="Cambria"/>
          <w:sz w:val="22"/>
          <w:szCs w:val="22"/>
        </w:rPr>
        <w:t>Disponibilidad de un ordenador y una pizarra digital o pantalla en las aulas de grupo.</w:t>
      </w:r>
    </w:p>
    <w:p>
      <w:pPr>
        <w:pStyle w:val="ListParagraph"/>
        <w:numPr>
          <w:ilvl w:val="0"/>
          <w:numId w:val="9"/>
        </w:numPr>
        <w:ind w:left="567" w:hanging="283"/>
        <w:jc w:val="both"/>
        <w:rPr>
          <w:rFonts w:ascii="Cambria" w:hAnsi="Cambria" w:eastAsia="Cambria" w:cs="Cambria" w:asciiTheme="majorHAnsi" w:hAnsiTheme="majorHAnsi"/>
        </w:rPr>
      </w:pPr>
      <w:r>
        <w:rPr>
          <w:rFonts w:eastAsia="Cambria" w:cs="Cambria"/>
          <w:sz w:val="22"/>
          <w:szCs w:val="22"/>
        </w:rPr>
        <w:t>Disponibilidad de aulas específicas de informática, dotadas con ordenadores suficientes.</w:t>
      </w:r>
    </w:p>
    <w:p>
      <w:pPr>
        <w:pStyle w:val="ListParagraph"/>
        <w:numPr>
          <w:ilvl w:val="0"/>
          <w:numId w:val="9"/>
        </w:numPr>
        <w:ind w:left="567" w:hanging="283"/>
        <w:jc w:val="both"/>
        <w:rPr>
          <w:rFonts w:ascii="Cambria" w:hAnsi="Cambria" w:eastAsia="Cambria" w:cs="Cambria" w:asciiTheme="majorHAnsi" w:hAnsiTheme="majorHAnsi"/>
        </w:rPr>
      </w:pPr>
      <w:r>
        <w:rPr>
          <w:rFonts w:eastAsia="Cambria" w:cs="Cambria"/>
          <w:sz w:val="22"/>
          <w:szCs w:val="22"/>
        </w:rPr>
        <w:t>Creación, selección y organización de materiales curriculares o de software educativo.</w:t>
      </w:r>
    </w:p>
    <w:p>
      <w:pPr>
        <w:pStyle w:val="ListParagraph"/>
        <w:numPr>
          <w:ilvl w:val="0"/>
          <w:numId w:val="9"/>
        </w:numPr>
        <w:ind w:left="567" w:hanging="283"/>
        <w:jc w:val="both"/>
        <w:rPr>
          <w:rFonts w:ascii="Cambria" w:hAnsi="Cambria" w:eastAsia="Cambria" w:cs="Cambria" w:asciiTheme="majorHAnsi" w:hAnsiTheme="majorHAnsi"/>
        </w:rPr>
      </w:pPr>
      <w:r>
        <w:rPr>
          <w:rFonts w:eastAsia="Cambria" w:cs="Cambria"/>
          <w:sz w:val="22"/>
          <w:szCs w:val="22"/>
        </w:rPr>
        <w:t>Uso del correo electrónico corporativo para las comunicaciones entre el profesorado, con el alumnado y el resto de la comunidad educativa.</w:t>
      </w:r>
    </w:p>
    <w:p>
      <w:pPr>
        <w:pStyle w:val="ListParagraph"/>
        <w:numPr>
          <w:ilvl w:val="0"/>
          <w:numId w:val="9"/>
        </w:numPr>
        <w:ind w:left="567" w:hanging="283"/>
        <w:jc w:val="both"/>
        <w:rPr>
          <w:rFonts w:ascii="Cambria" w:hAnsi="Cambria" w:eastAsia="Cambria" w:cs="Cambria" w:asciiTheme="majorHAnsi" w:hAnsiTheme="majorHAnsi"/>
        </w:rPr>
      </w:pPr>
      <w:r>
        <w:rPr>
          <w:rFonts w:eastAsia="Cambria" w:cs="Cambria"/>
          <w:sz w:val="22"/>
          <w:szCs w:val="22"/>
        </w:rPr>
        <w:t>Búsqueda crítica de información en Internet y utilizarla en la elaboración de trabajos o proyectos por parte del alumnado.</w:t>
      </w:r>
    </w:p>
    <w:p>
      <w:pPr>
        <w:pStyle w:val="ListParagraph"/>
        <w:numPr>
          <w:ilvl w:val="0"/>
          <w:numId w:val="9"/>
        </w:numPr>
        <w:ind w:left="567" w:hanging="283"/>
        <w:jc w:val="both"/>
        <w:rPr>
          <w:rFonts w:ascii="Cambria" w:hAnsi="Cambria" w:eastAsia="Cambria" w:cs="Cambria" w:asciiTheme="majorHAnsi" w:hAnsiTheme="majorHAnsi"/>
        </w:rPr>
      </w:pPr>
      <w:r>
        <w:rPr>
          <w:rFonts w:eastAsia="Cambria" w:cs="Cambria"/>
          <w:sz w:val="22"/>
          <w:szCs w:val="22"/>
        </w:rPr>
        <w:t>Elaboración de trabajos, informes, dibujos, gráficas, presentaciones, exposiciones relacionadas con distintas materias y que supongan el uso de distintos programas informáticos.</w:t>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mbria" w:hAnsi="Cambria" w:eastAsia="Cambria" w:cs="Cambria" w:asciiTheme="majorHAnsi" w:hAnsiTheme="majorHAnsi"/>
          <w:b/>
          <w:b/>
          <w:u w:val="single"/>
        </w:rPr>
      </w:pPr>
      <w:r>
        <w:rPr>
          <w:rFonts w:eastAsia="Cambria" w:cs="Cambria"/>
          <w:b/>
          <w:sz w:val="22"/>
          <w:szCs w:val="22"/>
          <w:u w:val="single"/>
        </w:rPr>
        <w:t>13. EN SU CASO, MEDIDAS COMPLEMENTARIAS QUE SE PLANTEAN PARA EL TRATAMIENTO DE LAS MATERIAS DENTRO DEL PROYECTO BILINGÜE</w:t>
      </w:r>
    </w:p>
    <w:p>
      <w:pPr>
        <w:pStyle w:val="Normal"/>
        <w:jc w:val="both"/>
        <w:rPr>
          <w:rFonts w:ascii="Cambria" w:hAnsi="Cambria" w:eastAsia="Cambria" w:cs="Cambria" w:asciiTheme="majorHAnsi" w:hAnsiTheme="majorHAnsi"/>
        </w:rPr>
      </w:pPr>
      <w:r>
        <w:rPr>
          <w:rFonts w:eastAsia="Cambria" w:cs="Cambria"/>
          <w:sz w:val="22"/>
          <w:szCs w:val="22"/>
        </w:rPr>
        <w:t xml:space="preserve">La materia de Física y química no se imparte en el programa Bilingüe en 3º de ESO en este centro. </w:t>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mbria" w:hAnsi="Cambria" w:eastAsia="Cambria" w:cs="Cambria" w:asciiTheme="majorHAnsi" w:hAnsiTheme="majorHAnsi"/>
          <w:b/>
          <w:b/>
          <w:u w:val="single"/>
        </w:rPr>
      </w:pPr>
      <w:r>
        <w:rPr>
          <w:rFonts w:eastAsia="Cambria" w:cs="Cambria"/>
          <w:b/>
          <w:sz w:val="22"/>
          <w:szCs w:val="22"/>
          <w:u w:val="single"/>
        </w:rPr>
        <w:t>14. MECANISMOS DE REVISIÓN, EVALUACIÓN Y MODIFICACIÓN DE LAS PROGRAMACIONES DIDÁCTICAS</w:t>
      </w:r>
    </w:p>
    <w:p>
      <w:pPr>
        <w:pStyle w:val="Normal"/>
        <w:spacing w:before="0" w:after="0"/>
        <w:ind w:firstLine="284"/>
        <w:jc w:val="both"/>
        <w:rPr>
          <w:rFonts w:ascii="Cambria" w:hAnsi="Cambria" w:asciiTheme="majorHAnsi" w:hAnsiTheme="majorHAnsi"/>
        </w:rPr>
      </w:pPr>
      <w:r>
        <w:rPr>
          <w:sz w:val="22"/>
          <w:szCs w:val="22"/>
        </w:rPr>
        <w:t xml:space="preserve">En primer lugar es necesario revisar la programación al principio del curso para comprobar que cumple con la legislación vigente (ya que puede ser modificada) y que está adaptada al grupo de alumnos del curso que se va a iniciar. En este momento se pueden realizar algunas modificaciones, especialmente en cuanto a las concreciones metodológicas y en relación a las Medidas de Atención a la Diversidad, con el fin de adaptar la Programación a la realidad del grupo antes de que sea incorporada a la Programación General Anual. </w:t>
      </w:r>
    </w:p>
    <w:p>
      <w:pPr>
        <w:pStyle w:val="Normal"/>
        <w:spacing w:before="0" w:after="0"/>
        <w:ind w:firstLine="284"/>
        <w:jc w:val="both"/>
        <w:rPr>
          <w:rFonts w:ascii="Calibri" w:hAnsi="Calibri"/>
          <w:sz w:val="22"/>
          <w:szCs w:val="22"/>
        </w:rPr>
      </w:pPr>
      <w:r>
        <w:rPr>
          <w:sz w:val="22"/>
          <w:szCs w:val="22"/>
        </w:rPr>
      </w:r>
    </w:p>
    <w:p>
      <w:pPr>
        <w:pStyle w:val="Normal"/>
        <w:spacing w:before="0" w:after="0"/>
        <w:ind w:firstLine="284"/>
        <w:jc w:val="both"/>
        <w:rPr>
          <w:rFonts w:ascii="Cambria" w:hAnsi="Cambria" w:asciiTheme="majorHAnsi" w:hAnsiTheme="majorHAnsi"/>
        </w:rPr>
      </w:pPr>
      <w:r>
        <w:rPr>
          <w:sz w:val="22"/>
          <w:szCs w:val="22"/>
        </w:rPr>
        <w:t>Durante el desarrollo del curso, el grado de cumplimiento de la programación de cada materia se valora mensualmente en una de las Reuniones de Departamento. De esta forma se pueden detectar desviaciones entre los diferentes grupos de un mismo nivel, por ejemplo. Para realizar un seguimiento adecuado del cumplimiento de la programación se puede utilizar la hoja Excel Cuaderno del Profesor, que es una herramienta muy útil para que el propio docente compruebe que el número de sesiones asignadas a cada UD es correcto y que no se producen desviaciones significativas. En caso de ausencias imprevistas del docente, con esta herramienta se dispone de una visión global del desarrollo de las UD y se pueden proponer mecanismos de corrección de una forma más intuitiva.</w:t>
      </w:r>
    </w:p>
    <w:p>
      <w:pPr>
        <w:pStyle w:val="Normal"/>
        <w:spacing w:before="0" w:after="0"/>
        <w:ind w:firstLine="284"/>
        <w:jc w:val="both"/>
        <w:rPr>
          <w:rFonts w:ascii="Calibri" w:hAnsi="Calibri"/>
          <w:sz w:val="22"/>
          <w:szCs w:val="22"/>
        </w:rPr>
      </w:pPr>
      <w:r>
        <w:rPr>
          <w:sz w:val="22"/>
          <w:szCs w:val="22"/>
        </w:rPr>
      </w:r>
    </w:p>
    <w:p>
      <w:pPr>
        <w:pStyle w:val="Normal"/>
        <w:spacing w:before="0" w:after="0"/>
        <w:ind w:firstLine="284"/>
        <w:jc w:val="both"/>
        <w:rPr>
          <w:rFonts w:ascii="Cambria" w:hAnsi="Cambria" w:asciiTheme="majorHAnsi" w:hAnsiTheme="majorHAnsi"/>
        </w:rPr>
      </w:pPr>
      <w:r>
        <w:rPr>
          <w:sz w:val="22"/>
          <w:szCs w:val="22"/>
        </w:rPr>
        <w:t xml:space="preserve">Al menos en una ocasión durante el curso, los alumnos/as de cada grupo podrán contestar voluntariamente a unos cuestionarios online en relación al proceso enseñanza-aprendizaje, al clima de clase y a su propio esfuerzo. Las respuestas de los alumnos/as a estos cuestionarios son un elemento muy valioso como retroalimentación de lo planteado en esta Programación (actividades, metodología, secuenciación, evaluación, etc.) y de la labor docente. El análisis de estas respuestas puede servir para corregir errores sistemáticos, para incorporar mejoras propuestas por los alumnos/as y, en definitiva, para optimizar la Programación Didáctica y el proceso enseñanza-aprendizaje. </w:t>
      </w:r>
    </w:p>
    <w:p>
      <w:pPr>
        <w:pStyle w:val="Normal"/>
        <w:tabs>
          <w:tab w:val="clear" w:pos="720"/>
          <w:tab w:val="left" w:pos="284" w:leader="none"/>
        </w:tabs>
        <w:spacing w:before="0" w:after="0"/>
        <w:ind w:firstLine="284"/>
        <w:jc w:val="both"/>
        <w:rPr>
          <w:rFonts w:ascii="Calibri" w:hAnsi="Calibri"/>
          <w:sz w:val="22"/>
          <w:szCs w:val="22"/>
        </w:rPr>
      </w:pPr>
      <w:r>
        <w:rPr>
          <w:sz w:val="22"/>
          <w:szCs w:val="22"/>
        </w:rPr>
      </w:r>
    </w:p>
    <w:p>
      <w:pPr>
        <w:pStyle w:val="Normal"/>
        <w:tabs>
          <w:tab w:val="clear" w:pos="720"/>
          <w:tab w:val="left" w:pos="284" w:leader="none"/>
        </w:tabs>
        <w:spacing w:before="0" w:after="0"/>
        <w:ind w:firstLine="284"/>
        <w:jc w:val="both"/>
        <w:rPr>
          <w:rFonts w:ascii="Cambria" w:hAnsi="Cambria" w:asciiTheme="majorHAnsi" w:hAnsiTheme="majorHAnsi"/>
        </w:rPr>
      </w:pPr>
      <w:r>
        <w:rPr>
          <w:sz w:val="22"/>
          <w:szCs w:val="22"/>
        </w:rPr>
        <w:t xml:space="preserve">Por otra parte, se realizará una evaluación de los resultados académicos obtenidos por los diferentes grupos de alumnos/as en la materia en este curso, comparándolos con los obtenidos en años anteriores y con la media de la comunidad autónoma de Aragón para cada nivel. Como consecuencia de dicho análisis se establecerán una serie de medidas destinadas a la mejora de dichos resultados que aparecerán recogidas en la Memoria del Departamento. </w:t>
      </w:r>
    </w:p>
    <w:p>
      <w:pPr>
        <w:pStyle w:val="Normal"/>
        <w:spacing w:before="0" w:after="0"/>
        <w:ind w:firstLine="284"/>
        <w:jc w:val="both"/>
        <w:rPr>
          <w:rFonts w:ascii="Calibri" w:hAnsi="Calibri"/>
          <w:sz w:val="22"/>
          <w:szCs w:val="22"/>
        </w:rPr>
      </w:pPr>
      <w:r>
        <w:rPr>
          <w:sz w:val="22"/>
          <w:szCs w:val="22"/>
        </w:rPr>
      </w:r>
    </w:p>
    <w:p>
      <w:pPr>
        <w:pStyle w:val="Normal"/>
        <w:spacing w:before="0" w:after="0"/>
        <w:ind w:firstLine="284"/>
        <w:jc w:val="both"/>
        <w:rPr>
          <w:rFonts w:ascii="Cambria" w:hAnsi="Cambria" w:asciiTheme="majorHAnsi" w:hAnsiTheme="majorHAnsi"/>
        </w:rPr>
      </w:pPr>
      <w:r>
        <w:rPr>
          <w:sz w:val="22"/>
          <w:szCs w:val="22"/>
        </w:rPr>
        <w:t xml:space="preserve">Finalmente, se procederá a revisar la programación una vez que el curso ha terminado para la elaboración de la Memoria del Departamento. En este punto y a la vista del grado de cumplimiento global de la programación, de los resultados académicos del grupo, de las evaluaciones de los alumnos se puede hacer una valoración más nítida y precisa del proceso enseñanza-aprendizaje. Es en ese momento cuando se pueden proponer modificaciones de la programación como respuesta a desajustes o a propuestas de alumnos/as o de otros docentes del departamento. No obstante, cualquier modificación significativa deberá tener una justificación que la considere necesaria. </w:t>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rFonts w:ascii="Cambria" w:hAnsi="Cambria" w:eastAsia="Cambria" w:cs="Cambria" w:asciiTheme="majorHAnsi" w:hAnsiTheme="majorHAnsi"/>
          <w:b/>
          <w:b/>
          <w:u w:val="single"/>
        </w:rPr>
      </w:pPr>
      <w:r>
        <w:rPr>
          <w:rFonts w:eastAsia="Cambria" w:cs="Cambria"/>
          <w:b/>
          <w:sz w:val="22"/>
          <w:szCs w:val="22"/>
          <w:u w:val="single"/>
        </w:rPr>
        <w:t>15. ACTIVIDADES COMPLEMENTARIAS Y EXTRAESCOLARES</w:t>
      </w:r>
    </w:p>
    <w:p>
      <w:pPr>
        <w:pStyle w:val="Normal"/>
        <w:tabs>
          <w:tab w:val="clear" w:pos="720"/>
          <w:tab w:val="left" w:pos="284" w:leader="none"/>
        </w:tabs>
        <w:ind w:firstLine="284"/>
        <w:jc w:val="both"/>
        <w:rPr>
          <w:rFonts w:ascii="Cambria" w:hAnsi="Cambria" w:asciiTheme="majorHAnsi" w:hAnsiTheme="majorHAnsi"/>
        </w:rPr>
      </w:pPr>
      <w:r>
        <w:rPr>
          <w:sz w:val="22"/>
          <w:szCs w:val="22"/>
        </w:rPr>
        <w:t xml:space="preserve">Dado el elevado número de alumnos de Física y química en 3º de ESO (6 grupos), desde el departamento no se ha encontrado una actividad extraescolar relacionada con los contenidos curriculares que se les pueda ofrecer a todos los alumnos/as simultáneamente, por lo que no se ha propuesto ninguna actividad extraescolar para este curso en este nivel.  </w:t>
      </w:r>
    </w:p>
    <w:p>
      <w:pPr>
        <w:pStyle w:val="Normal"/>
        <w:tabs>
          <w:tab w:val="clear" w:pos="720"/>
          <w:tab w:val="left" w:pos="284" w:leader="none"/>
        </w:tabs>
        <w:ind w:firstLine="284"/>
        <w:jc w:val="both"/>
        <w:rPr>
          <w:rFonts w:ascii="Calibri" w:hAnsi="Calibri"/>
          <w:sz w:val="22"/>
          <w:szCs w:val="22"/>
        </w:rPr>
      </w:pPr>
      <w:r>
        <w:rPr>
          <w:sz w:val="22"/>
          <w:szCs w:val="22"/>
        </w:rPr>
      </w:r>
    </w:p>
    <w:p>
      <w:pPr>
        <w:pStyle w:val="Normal"/>
        <w:jc w:val="both"/>
        <w:rPr>
          <w:rFonts w:ascii="Cambria" w:hAnsi="Cambria" w:eastAsia="Cambria" w:cs="Cambria" w:asciiTheme="majorHAnsi" w:hAnsiTheme="majorHAnsi"/>
          <w:b/>
          <w:b/>
          <w:u w:val="single"/>
        </w:rPr>
      </w:pPr>
      <w:r>
        <w:rPr>
          <w:rFonts w:eastAsia="Cambria" w:cs="Cambria"/>
          <w:b/>
          <w:sz w:val="22"/>
          <w:szCs w:val="22"/>
          <w:u w:val="single"/>
        </w:rPr>
        <w:t>16. FORMA EN LA QUE SE DAN A CONOCER LOS ASPECTOS RELEVANTES DE ESTA PROGRAMACIÓN AL ALUMNADO Y LAS FAMILIAS</w:t>
      </w:r>
    </w:p>
    <w:p>
      <w:pPr>
        <w:pStyle w:val="Normal"/>
        <w:tabs>
          <w:tab w:val="clear" w:pos="720"/>
          <w:tab w:val="left" w:pos="284" w:leader="none"/>
        </w:tabs>
        <w:ind w:firstLine="284"/>
        <w:jc w:val="both"/>
        <w:rPr>
          <w:rFonts w:ascii="Cambria" w:hAnsi="Cambria" w:asciiTheme="majorHAnsi" w:hAnsiTheme="majorHAnsi"/>
          <w:color w:val="000000"/>
        </w:rPr>
      </w:pPr>
      <w:r>
        <w:rPr>
          <w:color w:val="000000"/>
          <w:sz w:val="22"/>
          <w:szCs w:val="22"/>
        </w:rPr>
        <w:t xml:space="preserve">Con el fin de que todos los alumnos/as y sus familias conozcan lo que se les exige para superar la materia de Física y Química en 3º de ESO, se realizarán las siguientes acciones: </w:t>
      </w:r>
    </w:p>
    <w:p>
      <w:pPr>
        <w:pStyle w:val="Normal"/>
        <w:numPr>
          <w:ilvl w:val="0"/>
          <w:numId w:val="8"/>
        </w:numPr>
        <w:tabs>
          <w:tab w:val="clear" w:pos="720"/>
          <w:tab w:val="left" w:pos="284" w:leader="none"/>
        </w:tabs>
        <w:spacing w:before="0" w:after="0"/>
        <w:jc w:val="both"/>
        <w:rPr>
          <w:rFonts w:ascii="Cambria" w:hAnsi="Cambria" w:asciiTheme="majorHAnsi" w:hAnsiTheme="majorHAnsi"/>
          <w:color w:val="000000"/>
        </w:rPr>
      </w:pPr>
      <w:r>
        <w:rPr>
          <w:color w:val="000000"/>
          <w:sz w:val="22"/>
          <w:szCs w:val="22"/>
        </w:rPr>
        <w:t xml:space="preserve">El profesor de cada grupo informará a todos los alumnos/as en clase de los criterios de calificación y de los instrumentos de evaluación.  </w:t>
      </w:r>
    </w:p>
    <w:p>
      <w:pPr>
        <w:pStyle w:val="Normal"/>
        <w:numPr>
          <w:ilvl w:val="0"/>
          <w:numId w:val="8"/>
        </w:numPr>
        <w:tabs>
          <w:tab w:val="clear" w:pos="720"/>
          <w:tab w:val="left" w:pos="284" w:leader="none"/>
        </w:tabs>
        <w:spacing w:before="0" w:after="0"/>
        <w:jc w:val="both"/>
        <w:rPr>
          <w:rFonts w:ascii="Cambria" w:hAnsi="Cambria" w:asciiTheme="majorHAnsi" w:hAnsiTheme="majorHAnsi"/>
          <w:color w:val="000000"/>
        </w:rPr>
      </w:pPr>
      <w:r>
        <w:rPr>
          <w:color w:val="000000"/>
          <w:sz w:val="22"/>
          <w:szCs w:val="22"/>
        </w:rPr>
        <w:t xml:space="preserve">En la sección del Departamento de Física y Química de la página web del centro se publicarán los contenidos mínimos de la materia en 3º de ESO y los criterios de calificación. Del mismo modo, los profesores del Departamento darán a conocer esta información en los diferentes grupos de Google Classroom  creados para cada grupo clase.  </w:t>
      </w:r>
    </w:p>
    <w:p>
      <w:pPr>
        <w:pStyle w:val="Normal"/>
        <w:numPr>
          <w:ilvl w:val="0"/>
          <w:numId w:val="8"/>
        </w:numPr>
        <w:tabs>
          <w:tab w:val="clear" w:pos="720"/>
          <w:tab w:val="left" w:pos="284" w:leader="none"/>
        </w:tabs>
        <w:jc w:val="both"/>
        <w:rPr>
          <w:rFonts w:ascii="Cambria" w:hAnsi="Cambria" w:asciiTheme="majorHAnsi" w:hAnsiTheme="majorHAnsi"/>
          <w:color w:val="000000"/>
        </w:rPr>
      </w:pPr>
      <w:r>
        <w:rPr>
          <w:color w:val="000000"/>
          <w:sz w:val="22"/>
          <w:szCs w:val="22"/>
        </w:rPr>
        <w:t xml:space="preserve">Tanto en el Departamento de Física y Química como en Jefatura de Estudios se dispone de una copia de esta programación a disposición de los alumnos/as y sus familias para su consulta. </w:t>
      </w:r>
    </w:p>
    <w:p>
      <w:pPr>
        <w:pStyle w:val="Normal"/>
        <w:tabs>
          <w:tab w:val="clear" w:pos="720"/>
          <w:tab w:val="left" w:pos="284" w:leader="none"/>
        </w:tabs>
        <w:ind w:firstLine="284"/>
        <w:jc w:val="both"/>
        <w:rPr>
          <w:rFonts w:ascii="Cambria" w:hAnsi="Cambria" w:asciiTheme="majorHAnsi" w:hAnsiTheme="majorHAnsi"/>
          <w:color w:val="000000"/>
        </w:rPr>
      </w:pPr>
      <w:bookmarkStart w:id="3" w:name="__DdeLink__8841_748623719"/>
      <w:r>
        <w:rPr>
          <w:color w:val="000000"/>
          <w:sz w:val="22"/>
          <w:szCs w:val="22"/>
        </w:rPr>
        <w:t xml:space="preserve">Asimismo, en cualquier momento los profesores de la materia pueden responder a todas aquellas cuestiones que les puedan surgir a los alumnos/as o a sus familias respecto a esta programación didáctica. </w:t>
      </w:r>
      <w:bookmarkEnd w:id="3"/>
    </w:p>
    <w:p>
      <w:pPr>
        <w:pStyle w:val="Normal"/>
        <w:jc w:val="both"/>
        <w:rPr>
          <w:rFonts w:ascii="Arial" w:hAnsi="Arial" w:eastAsia="Cambria" w:cs="Cambria"/>
          <w:b/>
          <w:b/>
          <w:sz w:val="20"/>
          <w:szCs w:val="20"/>
          <w:u w:val="single"/>
        </w:rPr>
      </w:pPr>
      <w:r>
        <w:rPr>
          <w:rFonts w:eastAsia="Cambria" w:cs="Cambria" w:ascii="Arial" w:hAnsi="Arial"/>
          <w:b/>
          <w:sz w:val="20"/>
          <w:szCs w:val="20"/>
          <w:u w:val="single"/>
        </w:rPr>
      </w:r>
      <w:bookmarkStart w:id="4" w:name="_GoBack"/>
      <w:bookmarkStart w:id="5" w:name="_GoBack"/>
      <w:bookmarkEnd w:id="5"/>
    </w:p>
    <w:p>
      <w:pPr>
        <w:pStyle w:val="Normal"/>
        <w:spacing w:before="0" w:after="200"/>
        <w:jc w:val="both"/>
        <w:rPr/>
      </w:pPr>
      <w:r>
        <w:rPr/>
      </w:r>
    </w:p>
    <w:sectPr>
      <w:headerReference w:type="default" r:id="rId2"/>
      <w:footerReference w:type="default" r:id="rId3"/>
      <w:type w:val="nextPage"/>
      <w:pgSz w:w="11906" w:h="16838"/>
      <w:pgMar w:left="1701" w:right="1701" w:header="708" w:top="1417" w:footer="708" w:bottom="1417" w:gutter="0"/>
      <w:pgNumType w:start="1" w:fmt="decimal"/>
      <w:formProt w:val="false"/>
      <w:titlePg/>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Cambria">
    <w:charset w:val="00"/>
    <w:family w:val="roman"/>
    <w:pitch w:val="variable"/>
  </w:font>
  <w:font w:name="Georgia">
    <w:charset w:val="00"/>
    <w:family w:val="roman"/>
    <w:pitch w:val="variable"/>
  </w:font>
  <w:font w:name="Arial">
    <w:charset w:val="00"/>
    <w:family w:val="roman"/>
    <w:pitch w:val="variable"/>
  </w:font>
  <w:font w:name="Calibri">
    <w:altName w:val="sans-serif"/>
    <w:charset w:val="00"/>
    <w:family w:val="roman"/>
    <w:pitch w:val="variable"/>
  </w:font>
  <w:font w:name="Arial Narrow">
    <w:charset w:val="00"/>
    <w:family w:val="roman"/>
    <w:pitch w:val="variable"/>
  </w:font>
  <w:font w:name="Noto Sans Symbols">
    <w:charset w:val="01"/>
    <w:family w:val="auto"/>
    <w:pitch w:val="default"/>
  </w:font>
  <w:font w:name="Courier New">
    <w:charset w:val="01"/>
    <w:family w:val="modern"/>
    <w:pitch w:val="fixed"/>
  </w:font>
  <w:font w:name="OpenSymbol">
    <w:altName w:val="Arial Unicode MS"/>
    <w:charset w:val="02"/>
    <w:family w:val="auto"/>
    <w:pitch w:val="variable"/>
  </w:font>
  <w:font w:name="Wingdings">
    <w:charset w:val="02"/>
    <w:family w:val="auto"/>
    <w:pitch w:val="variable"/>
  </w:font>
  <w:font w:name="Wingdings 2">
    <w:charset w:val="02"/>
    <w:family w:val="roman"/>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auto" w:line="240" w:before="120" w:after="0"/>
      <w:ind w:left="142" w:hanging="0"/>
      <w:jc w:val="center"/>
      <w:rPr>
        <w:rFonts w:ascii="Arial Narrow" w:hAnsi="Arial Narrow" w:eastAsia="Arial Narrow" w:cs="Arial Narrow"/>
        <w:b/>
        <w:b/>
        <w:smallCaps/>
        <w:color w:val="366091"/>
        <w:sz w:val="18"/>
        <w:szCs w:val="18"/>
      </w:rPr>
    </w:pPr>
    <w:r>
      <w:rPr>
        <w:rFonts w:eastAsia="Arial Narrow" w:cs="Arial Narrow" w:ascii="Arial Narrow" w:hAnsi="Arial Narrow"/>
        <w:b/>
        <w:smallCaps/>
        <w:color w:val="366091"/>
        <w:sz w:val="18"/>
        <w:szCs w:val="18"/>
      </w:rPr>
      <w:t xml:space="preserve">IES LA PUEBLA DE </w:t>
    </w:r>
    <w:r>
      <w:rPr>
        <w:rFonts w:eastAsia="Arial Narrow" w:cs="Arial Narrow" w:ascii="Arial Narrow" w:hAnsi="Arial Narrow"/>
        <w:b/>
        <w:smallCaps/>
        <w:color w:val="365F91"/>
        <w:sz w:val="18"/>
        <w:szCs w:val="18"/>
      </w:rPr>
      <w:t>ALFINDÉN</w:t>
    </w:r>
  </w:p>
  <w:p>
    <w:pPr>
      <w:pStyle w:val="Normal"/>
      <w:tabs>
        <w:tab w:val="clear" w:pos="720"/>
        <w:tab w:val="center" w:pos="4252" w:leader="none"/>
        <w:tab w:val="right" w:pos="8504" w:leader="none"/>
      </w:tabs>
      <w:spacing w:lineRule="auto" w:line="240" w:before="0" w:after="0"/>
      <w:ind w:left="142" w:hanging="0"/>
      <w:jc w:val="center"/>
      <w:rPr>
        <w:sz w:val="18"/>
        <w:szCs w:val="18"/>
      </w:rPr>
    </w:pPr>
    <w:r>
      <w:rPr>
        <w:sz w:val="18"/>
        <w:szCs w:val="18"/>
      </w:rPr>
      <w:t>Av. de Pastriz, nº 2 – 50171 – La Puebla de Alfindén, Zaragoza | 976 107 602</w:t>
    </w:r>
  </w:p>
  <w:p>
    <w:pPr>
      <w:pStyle w:val="Normal"/>
      <w:tabs>
        <w:tab w:val="clear" w:pos="720"/>
        <w:tab w:val="center" w:pos="4252" w:leader="none"/>
        <w:tab w:val="right" w:pos="8504" w:leader="none"/>
      </w:tabs>
      <w:spacing w:lineRule="auto" w:line="240" w:before="0" w:after="0"/>
      <w:jc w:val="center"/>
      <w:rPr/>
    </w:pPr>
    <w:r>
      <w:rPr>
        <w:sz w:val="18"/>
        <w:szCs w:val="18"/>
      </w:rPr>
      <w:t>ieslapuebla@educa.aragon.es | ieslapuebladealfinden.com</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20"/>
        <w:tab w:val="center" w:pos="4252" w:leader="none"/>
        <w:tab w:val="right" w:pos="8504" w:leader="none"/>
      </w:tabs>
      <w:spacing w:lineRule="auto" w:line="240" w:before="0" w:after="0"/>
      <w:rPr/>
    </w:pPr>
    <w:r>
      <w:rPr/>
      <w:drawing>
        <wp:anchor behindDoc="1" distT="0" distB="0" distL="0" distR="0" simplePos="0" locked="0" layoutInCell="1" allowOverlap="1" relativeHeight="29">
          <wp:simplePos x="0" y="0"/>
          <wp:positionH relativeFrom="column">
            <wp:posOffset>4195445</wp:posOffset>
          </wp:positionH>
          <wp:positionV relativeFrom="paragraph">
            <wp:posOffset>-279400</wp:posOffset>
          </wp:positionV>
          <wp:extent cx="1617980" cy="721995"/>
          <wp:effectExtent l="0" t="0" r="0" b="0"/>
          <wp:wrapTopAndBottom/>
          <wp:docPr id="1"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
                  <pic:cNvPicPr>
                    <a:picLocks noChangeAspect="1" noChangeArrowheads="1"/>
                  </pic:cNvPicPr>
                </pic:nvPicPr>
                <pic:blipFill>
                  <a:blip r:embed="rId1"/>
                  <a:srcRect l="-10" t="-23" r="-10" b="-23"/>
                  <a:stretch>
                    <a:fillRect/>
                  </a:stretch>
                </pic:blipFill>
                <pic:spPr bwMode="auto">
                  <a:xfrm>
                    <a:off x="0" y="0"/>
                    <a:ext cx="1617980" cy="721995"/>
                  </a:xfrm>
                  <a:prstGeom prst="rect">
                    <a:avLst/>
                  </a:prstGeom>
                </pic:spPr>
              </pic:pic>
            </a:graphicData>
          </a:graphic>
        </wp:anchor>
      </w:drawing>
      <w:drawing>
        <wp:anchor behindDoc="1" distT="0" distB="0" distL="0" distR="0" simplePos="0" locked="0" layoutInCell="1" allowOverlap="1" relativeHeight="57">
          <wp:simplePos x="0" y="0"/>
          <wp:positionH relativeFrom="column">
            <wp:posOffset>5634990</wp:posOffset>
          </wp:positionH>
          <wp:positionV relativeFrom="paragraph">
            <wp:posOffset>5915025</wp:posOffset>
          </wp:positionV>
          <wp:extent cx="810895" cy="400685"/>
          <wp:effectExtent l="0" t="0" r="0" b="0"/>
          <wp:wrapNone/>
          <wp:docPr id="2" name="image2.jpg" descr="cropped-20160923_113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jpg" descr="cropped-20160923_113224"/>
                  <pic:cNvPicPr>
                    <a:picLocks noChangeAspect="1" noChangeArrowheads="1"/>
                  </pic:cNvPicPr>
                </pic:nvPicPr>
                <pic:blipFill>
                  <a:blip r:embed="rId2"/>
                  <a:stretch>
                    <a:fillRect/>
                  </a:stretch>
                </pic:blipFill>
                <pic:spPr bwMode="auto">
                  <a:xfrm>
                    <a:off x="0" y="0"/>
                    <a:ext cx="810895" cy="40068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Noto Sans Symbols" w:hAnsi="Noto Sans Symbols" w:cs="Noto Sans Symbols" w:hint="default"/>
        <w:rFonts w:cs="Noto Sans Symbols"/>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Noto Sans Symbols" w:hAnsi="Noto Sans Symbols" w:cs="Noto Sans Symbols" w:hint="default"/>
        <w:rFonts w:cs="Noto Sans Symbols"/>
      </w:rPr>
    </w:lvl>
    <w:lvl w:ilvl="3">
      <w:start w:val="1"/>
      <w:numFmt w:val="bullet"/>
      <w:lvlText w:val="●"/>
      <w:lvlJc w:val="left"/>
      <w:pPr>
        <w:ind w:left="2880" w:hanging="360"/>
      </w:pPr>
      <w:rPr>
        <w:rFonts w:ascii="Noto Sans Symbols" w:hAnsi="Noto Sans Symbols" w:cs="Noto Sans Symbols" w:hint="default"/>
        <w:rFonts w:cs="Noto Sans Symbols"/>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Noto Sans Symbols" w:hAnsi="Noto Sans Symbols" w:cs="Noto Sans Symbols" w:hint="default"/>
        <w:rFonts w:cs="Noto Sans Symbols"/>
      </w:rPr>
    </w:lvl>
    <w:lvl w:ilvl="6">
      <w:start w:val="1"/>
      <w:numFmt w:val="bullet"/>
      <w:lvlText w:val="●"/>
      <w:lvlJc w:val="left"/>
      <w:pPr>
        <w:ind w:left="5040" w:hanging="360"/>
      </w:pPr>
      <w:rPr>
        <w:rFonts w:ascii="Noto Sans Symbols" w:hAnsi="Noto Sans Symbols" w:cs="Noto Sans Symbols" w:hint="default"/>
        <w:rFonts w:cs="Noto Sans Symbols"/>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Noto Sans Symbols" w:hAnsi="Noto Sans Symbols" w:cs="Noto Sans Symbols" w:hint="default"/>
        <w:rFonts w:cs="Noto Sans Symbols"/>
      </w:rPr>
    </w:lvl>
  </w:abstractNum>
  <w:abstractNum w:abstractNumId="2">
    <w:lvl w:ilvl="0">
      <w:start w:val="1"/>
      <w:numFmt w:val="bullet"/>
      <w:lvlText w:val="●"/>
      <w:lvlJc w:val="left"/>
      <w:pPr>
        <w:ind w:left="1004" w:hanging="360"/>
      </w:pPr>
      <w:rPr>
        <w:rFonts w:ascii="Noto Sans Symbols" w:hAnsi="Noto Sans Symbols" w:cs="Noto Sans Symbols" w:hint="default"/>
        <w:rFonts w:cs="Noto Sans Symbols"/>
      </w:rPr>
    </w:lvl>
    <w:lvl w:ilvl="1">
      <w:start w:val="1"/>
      <w:numFmt w:val="bullet"/>
      <w:lvlText w:val="o"/>
      <w:lvlJc w:val="left"/>
      <w:pPr>
        <w:ind w:left="1724" w:hanging="360"/>
      </w:pPr>
      <w:rPr>
        <w:rFonts w:ascii="Courier New" w:hAnsi="Courier New" w:cs="Courier New" w:hint="default"/>
        <w:rFonts w:cs="Courier New"/>
      </w:rPr>
    </w:lvl>
    <w:lvl w:ilvl="2">
      <w:start w:val="1"/>
      <w:numFmt w:val="bullet"/>
      <w:lvlText w:val="▪"/>
      <w:lvlJc w:val="left"/>
      <w:pPr>
        <w:ind w:left="2444" w:hanging="360"/>
      </w:pPr>
      <w:rPr>
        <w:rFonts w:ascii="Noto Sans Symbols" w:hAnsi="Noto Sans Symbols" w:cs="Noto Sans Symbols" w:hint="default"/>
        <w:rFonts w:cs="Noto Sans Symbols"/>
      </w:rPr>
    </w:lvl>
    <w:lvl w:ilvl="3">
      <w:start w:val="1"/>
      <w:numFmt w:val="bullet"/>
      <w:lvlText w:val="●"/>
      <w:lvlJc w:val="left"/>
      <w:pPr>
        <w:ind w:left="3164" w:hanging="360"/>
      </w:pPr>
      <w:rPr>
        <w:rFonts w:ascii="Noto Sans Symbols" w:hAnsi="Noto Sans Symbols" w:cs="Noto Sans Symbols" w:hint="default"/>
        <w:rFonts w:cs="Noto Sans Symbols"/>
      </w:rPr>
    </w:lvl>
    <w:lvl w:ilvl="4">
      <w:start w:val="1"/>
      <w:numFmt w:val="bullet"/>
      <w:lvlText w:val="o"/>
      <w:lvlJc w:val="left"/>
      <w:pPr>
        <w:ind w:left="3884" w:hanging="360"/>
      </w:pPr>
      <w:rPr>
        <w:rFonts w:ascii="Courier New" w:hAnsi="Courier New" w:cs="Courier New" w:hint="default"/>
        <w:rFonts w:cs="Courier New"/>
      </w:rPr>
    </w:lvl>
    <w:lvl w:ilvl="5">
      <w:start w:val="1"/>
      <w:numFmt w:val="bullet"/>
      <w:lvlText w:val="▪"/>
      <w:lvlJc w:val="left"/>
      <w:pPr>
        <w:ind w:left="4604" w:hanging="360"/>
      </w:pPr>
      <w:rPr>
        <w:rFonts w:ascii="Noto Sans Symbols" w:hAnsi="Noto Sans Symbols" w:cs="Noto Sans Symbols" w:hint="default"/>
        <w:rFonts w:cs="Noto Sans Symbols"/>
      </w:rPr>
    </w:lvl>
    <w:lvl w:ilvl="6">
      <w:start w:val="1"/>
      <w:numFmt w:val="bullet"/>
      <w:lvlText w:val="●"/>
      <w:lvlJc w:val="left"/>
      <w:pPr>
        <w:ind w:left="5324" w:hanging="360"/>
      </w:pPr>
      <w:rPr>
        <w:rFonts w:ascii="Noto Sans Symbols" w:hAnsi="Noto Sans Symbols" w:cs="Noto Sans Symbols" w:hint="default"/>
        <w:rFonts w:cs="Noto Sans Symbols"/>
      </w:rPr>
    </w:lvl>
    <w:lvl w:ilvl="7">
      <w:start w:val="1"/>
      <w:numFmt w:val="bullet"/>
      <w:lvlText w:val="o"/>
      <w:lvlJc w:val="left"/>
      <w:pPr>
        <w:ind w:left="6044" w:hanging="360"/>
      </w:pPr>
      <w:rPr>
        <w:rFonts w:ascii="Courier New" w:hAnsi="Courier New" w:cs="Courier New" w:hint="default"/>
        <w:rFonts w:cs="Courier New"/>
      </w:rPr>
    </w:lvl>
    <w:lvl w:ilvl="8">
      <w:start w:val="1"/>
      <w:numFmt w:val="bullet"/>
      <w:lvlText w:val="▪"/>
      <w:lvlJc w:val="left"/>
      <w:pPr>
        <w:ind w:left="6764" w:hanging="360"/>
      </w:pPr>
      <w:rPr>
        <w:rFonts w:ascii="Noto Sans Symbols" w:hAnsi="Noto Sans Symbols" w:cs="Noto Sans Symbols" w:hint="default"/>
        <w:rFonts w:cs="Noto Sans Symbols"/>
      </w:rPr>
    </w:lvl>
  </w:abstractNum>
  <w:abstractNum w:abstractNumId="3">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lvl w:ilvl="0">
      <w:start w:val="1"/>
      <w:numFmt w:val="bullet"/>
      <w:lvlText w:val="●"/>
      <w:lvlJc w:val="left"/>
      <w:pPr>
        <w:ind w:left="1004" w:hanging="360"/>
      </w:pPr>
      <w:rPr>
        <w:rFonts w:ascii="Noto Sans Symbols" w:hAnsi="Noto Sans Symbols" w:cs="Noto Sans Symbols" w:hint="default"/>
        <w:vertAlign w:val="baseline"/>
        <w:position w:val="0"/>
        <w:sz w:val="22"/>
        <w:sz w:val="22"/>
        <w:rFonts w:cs="Noto Sans Symbols"/>
      </w:rPr>
    </w:lvl>
    <w:lvl w:ilvl="1">
      <w:start w:val="1"/>
      <w:numFmt w:val="bullet"/>
      <w:lvlText w:val=""/>
      <w:lvlJc w:val="left"/>
      <w:pPr>
        <w:ind w:left="0" w:hanging="0"/>
      </w:pPr>
      <w:rPr>
        <w:rFonts w:ascii="OpenSymbol" w:hAnsi="OpenSymbol" w:cs="OpenSymbol" w:hint="default"/>
        <w:rFonts w:cs="OpenSymbol"/>
      </w:rPr>
    </w:lvl>
    <w:lvl w:ilvl="2">
      <w:start w:val="1"/>
      <w:numFmt w:val="bullet"/>
      <w:lvlText w:val=""/>
      <w:lvlJc w:val="left"/>
      <w:pPr>
        <w:ind w:left="0" w:hanging="0"/>
      </w:pPr>
      <w:rPr>
        <w:rFonts w:ascii="OpenSymbol" w:hAnsi="OpenSymbol" w:cs="OpenSymbol" w:hint="default"/>
        <w:rFonts w:cs="OpenSymbol"/>
      </w:rPr>
    </w:lvl>
    <w:lvl w:ilvl="3">
      <w:start w:val="1"/>
      <w:numFmt w:val="bullet"/>
      <w:lvlText w:val=""/>
      <w:lvlJc w:val="left"/>
      <w:pPr>
        <w:ind w:left="0" w:hanging="0"/>
      </w:pPr>
      <w:rPr>
        <w:rFonts w:ascii="OpenSymbol" w:hAnsi="OpenSymbol" w:cs="OpenSymbol" w:hint="default"/>
        <w:rFonts w:cs="OpenSymbol"/>
      </w:rPr>
    </w:lvl>
    <w:lvl w:ilvl="4">
      <w:start w:val="1"/>
      <w:numFmt w:val="bullet"/>
      <w:lvlText w:val=""/>
      <w:lvlJc w:val="left"/>
      <w:pPr>
        <w:ind w:left="0" w:hanging="0"/>
      </w:pPr>
      <w:rPr>
        <w:rFonts w:ascii="OpenSymbol" w:hAnsi="OpenSymbol" w:cs="OpenSymbol" w:hint="default"/>
        <w:rFonts w:cs="OpenSymbol"/>
      </w:rPr>
    </w:lvl>
    <w:lvl w:ilvl="5">
      <w:start w:val="1"/>
      <w:numFmt w:val="bullet"/>
      <w:lvlText w:val=""/>
      <w:lvlJc w:val="left"/>
      <w:pPr>
        <w:ind w:left="0" w:hanging="0"/>
      </w:pPr>
      <w:rPr>
        <w:rFonts w:ascii="OpenSymbol" w:hAnsi="OpenSymbol" w:cs="OpenSymbol" w:hint="default"/>
        <w:rFonts w:cs="OpenSymbol"/>
      </w:rPr>
    </w:lvl>
    <w:lvl w:ilvl="6">
      <w:start w:val="1"/>
      <w:numFmt w:val="bullet"/>
      <w:lvlText w:val=""/>
      <w:lvlJc w:val="left"/>
      <w:pPr>
        <w:ind w:left="0" w:hanging="0"/>
      </w:pPr>
      <w:rPr>
        <w:rFonts w:ascii="OpenSymbol" w:hAnsi="OpenSymbol" w:cs="OpenSymbol" w:hint="default"/>
        <w:rFonts w:cs="OpenSymbol"/>
      </w:rPr>
    </w:lvl>
    <w:lvl w:ilvl="7">
      <w:start w:val="1"/>
      <w:numFmt w:val="bullet"/>
      <w:lvlText w:val=""/>
      <w:lvlJc w:val="left"/>
      <w:pPr>
        <w:ind w:left="0" w:hanging="0"/>
      </w:pPr>
      <w:rPr>
        <w:rFonts w:ascii="OpenSymbol" w:hAnsi="OpenSymbol" w:cs="OpenSymbol" w:hint="default"/>
        <w:rFonts w:cs="OpenSymbol"/>
      </w:rPr>
    </w:lvl>
    <w:lvl w:ilvl="8">
      <w:start w:val="1"/>
      <w:numFmt w:val="bullet"/>
      <w:lvlText w:val=""/>
      <w:lvlJc w:val="left"/>
      <w:pPr>
        <w:ind w:left="0" w:hanging="0"/>
      </w:pPr>
      <w:rPr>
        <w:rFonts w:ascii="OpenSymbol" w:hAnsi="OpenSymbol" w:cs="OpenSymbol" w:hint="default"/>
        <w:rFonts w:cs="OpenSymbol"/>
      </w:rPr>
    </w:lvl>
  </w:abstractNum>
  <w:abstractNum w:abstractNumId="5">
    <w:lvl w:ilvl="0">
      <w:start w:val="1"/>
      <w:numFmt w:val="lowerLetter"/>
      <w:lvlText w:val="%1)"/>
      <w:lvlJc w:val="left"/>
      <w:pPr>
        <w:ind w:left="720" w:hanging="360"/>
      </w:pPr>
      <w:rPr>
        <w:vertAlign w:val="baseline"/>
        <w:position w:val="0"/>
        <w:sz w:val="22"/>
        <w:sz w:val="22"/>
        <w:rFonts w:ascii="Cambria" w:hAnsi="Cambria"/>
      </w:rPr>
    </w:lvl>
    <w:lvl w:ilvl="1">
      <w:start w:val="1"/>
      <w:numFmt w:val="lowerLetter"/>
      <w:lvlText w:val="%2."/>
      <w:lvlJc w:val="left"/>
      <w:pPr>
        <w:ind w:left="1440" w:hanging="360"/>
      </w:pPr>
      <w:rPr>
        <w:vertAlign w:val="baseline"/>
        <w:position w:val="0"/>
        <w:sz w:val="22"/>
        <w:sz w:val="22"/>
      </w:rPr>
    </w:lvl>
    <w:lvl w:ilvl="2">
      <w:start w:val="1"/>
      <w:numFmt w:val="lowerRoman"/>
      <w:lvlText w:val="%3."/>
      <w:lvlJc w:val="right"/>
      <w:pPr>
        <w:ind w:left="2160" w:hanging="180"/>
      </w:pPr>
      <w:rPr>
        <w:vertAlign w:val="baseline"/>
        <w:position w:val="0"/>
        <w:sz w:val="22"/>
        <w:sz w:val="22"/>
      </w:rPr>
    </w:lvl>
    <w:lvl w:ilvl="3">
      <w:start w:val="1"/>
      <w:numFmt w:val="decimal"/>
      <w:lvlText w:val="%4."/>
      <w:lvlJc w:val="left"/>
      <w:pPr>
        <w:ind w:left="2880" w:hanging="360"/>
      </w:pPr>
      <w:rPr>
        <w:vertAlign w:val="baseline"/>
        <w:position w:val="0"/>
        <w:sz w:val="22"/>
        <w:sz w:val="22"/>
      </w:rPr>
    </w:lvl>
    <w:lvl w:ilvl="4">
      <w:start w:val="1"/>
      <w:numFmt w:val="lowerLetter"/>
      <w:lvlText w:val="%5."/>
      <w:lvlJc w:val="left"/>
      <w:pPr>
        <w:ind w:left="3600" w:hanging="360"/>
      </w:pPr>
      <w:rPr>
        <w:vertAlign w:val="baseline"/>
        <w:position w:val="0"/>
        <w:sz w:val="22"/>
        <w:sz w:val="22"/>
      </w:rPr>
    </w:lvl>
    <w:lvl w:ilvl="5">
      <w:start w:val="1"/>
      <w:numFmt w:val="lowerRoman"/>
      <w:lvlText w:val="%6."/>
      <w:lvlJc w:val="right"/>
      <w:pPr>
        <w:ind w:left="4320" w:hanging="180"/>
      </w:pPr>
      <w:rPr>
        <w:vertAlign w:val="baseline"/>
        <w:position w:val="0"/>
        <w:sz w:val="22"/>
        <w:sz w:val="22"/>
      </w:rPr>
    </w:lvl>
    <w:lvl w:ilvl="6">
      <w:start w:val="1"/>
      <w:numFmt w:val="decimal"/>
      <w:lvlText w:val="%7."/>
      <w:lvlJc w:val="left"/>
      <w:pPr>
        <w:ind w:left="5040" w:hanging="360"/>
      </w:pPr>
      <w:rPr>
        <w:vertAlign w:val="baseline"/>
        <w:position w:val="0"/>
        <w:sz w:val="22"/>
        <w:sz w:val="22"/>
      </w:rPr>
    </w:lvl>
    <w:lvl w:ilvl="7">
      <w:start w:val="1"/>
      <w:numFmt w:val="lowerLetter"/>
      <w:lvlText w:val="%8."/>
      <w:lvlJc w:val="left"/>
      <w:pPr>
        <w:ind w:left="5760" w:hanging="360"/>
      </w:pPr>
      <w:rPr>
        <w:vertAlign w:val="baseline"/>
        <w:position w:val="0"/>
        <w:sz w:val="22"/>
        <w:sz w:val="22"/>
      </w:rPr>
    </w:lvl>
    <w:lvl w:ilvl="8">
      <w:start w:val="1"/>
      <w:numFmt w:val="lowerRoman"/>
      <w:lvlText w:val="%9."/>
      <w:lvlJc w:val="right"/>
      <w:pPr>
        <w:ind w:left="6480" w:hanging="180"/>
      </w:pPr>
      <w:rPr>
        <w:vertAlign w:val="baseline"/>
        <w:position w:val="0"/>
        <w:sz w:val="22"/>
        <w:sz w:val="22"/>
      </w:rPr>
    </w:lvl>
  </w:abstractNum>
  <w:abstractNum w:abstractNumId="6">
    <w:lvl w:ilvl="0">
      <w:start w:val="1"/>
      <w:numFmt w:val="bullet"/>
      <w:lvlText w:val="●"/>
      <w:lvlJc w:val="left"/>
      <w:pPr>
        <w:ind w:left="1004" w:hanging="360"/>
      </w:pPr>
      <w:rPr>
        <w:rFonts w:ascii="Noto Sans Symbols" w:hAnsi="Noto Sans Symbols" w:cs="Noto Sans Symbols" w:hint="default"/>
        <w:rFonts w:cs="Noto Sans Symbols"/>
      </w:r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7">
    <w:lvl w:ilvl="0">
      <w:start w:val="1"/>
      <w:numFmt w:val="bullet"/>
      <w:lvlText w:val="●"/>
      <w:lvlJc w:val="left"/>
      <w:pPr>
        <w:ind w:left="720" w:hanging="360"/>
      </w:pPr>
      <w:rPr>
        <w:rFonts w:ascii="Noto Sans Symbols" w:hAnsi="Noto Sans Symbols" w:cs="Noto Sans Symbols" w:hint="default"/>
        <w:rFonts w:cs="Noto Sans Symbols"/>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Noto Sans Symbols" w:hAnsi="Noto Sans Symbols" w:cs="Noto Sans Symbols" w:hint="default"/>
        <w:rFonts w:cs="Noto Sans Symbols"/>
      </w:rPr>
    </w:lvl>
    <w:lvl w:ilvl="3">
      <w:start w:val="1"/>
      <w:numFmt w:val="bullet"/>
      <w:lvlText w:val="●"/>
      <w:lvlJc w:val="left"/>
      <w:pPr>
        <w:ind w:left="2880" w:hanging="360"/>
      </w:pPr>
      <w:rPr>
        <w:rFonts w:ascii="Noto Sans Symbols" w:hAnsi="Noto Sans Symbols" w:cs="Noto Sans Symbols" w:hint="default"/>
        <w:rFonts w:cs="Noto Sans Symbols"/>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Noto Sans Symbols" w:hAnsi="Noto Sans Symbols" w:cs="Noto Sans Symbols" w:hint="default"/>
        <w:rFonts w:cs="Noto Sans Symbols"/>
      </w:rPr>
    </w:lvl>
    <w:lvl w:ilvl="6">
      <w:start w:val="1"/>
      <w:numFmt w:val="bullet"/>
      <w:lvlText w:val="●"/>
      <w:lvlJc w:val="left"/>
      <w:pPr>
        <w:ind w:left="5040" w:hanging="360"/>
      </w:pPr>
      <w:rPr>
        <w:rFonts w:ascii="Noto Sans Symbols" w:hAnsi="Noto Sans Symbols" w:cs="Noto Sans Symbols" w:hint="default"/>
        <w:rFonts w:cs="Noto Sans Symbols"/>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Noto Sans Symbols" w:hAnsi="Noto Sans Symbols" w:cs="Noto Sans Symbols" w:hint="default"/>
        <w:rFonts w:cs="Noto Sans Symbols"/>
      </w:rPr>
    </w:lvl>
  </w:abstractNum>
  <w:abstractNum w:abstractNumId="8">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9">
    <w:lvl w:ilvl="0">
      <w:start w:val="1"/>
      <w:numFmt w:val="bullet"/>
      <w:lvlText w:val=""/>
      <w:lvlJc w:val="left"/>
      <w:pPr>
        <w:ind w:left="720" w:hanging="360"/>
      </w:pPr>
      <w:rPr>
        <w:rFonts w:ascii="Symbol" w:hAnsi="Symbol" w:cs="Symbol" w:hint="default"/>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10">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1">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2">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3">
    <w:lvl w:ilvl="0">
      <w:start w:val="2"/>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4">
    <w:lvl w:ilvl="0">
      <w:start w:val="2"/>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5">
    <w:lvl w:ilvl="0">
      <w:start w:val="3"/>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6">
    <w:lvl w:ilvl="0">
      <w:start w:val="4"/>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7">
    <w:lvl w:ilvl="0">
      <w:start w:val="5"/>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8">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w="http://schemas.openxmlformats.org/wordprocessingml/2006/main">
  <w:zoom w:percent="14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color w:val="00000A"/>
        <w:szCs w:val="22"/>
        <w:lang w:val="es-ES" w:eastAsia="es-E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86824"/>
    <w:pPr>
      <w:widowControl/>
      <w:bidi w:val="0"/>
      <w:spacing w:lineRule="auto" w:line="276" w:before="0" w:after="200"/>
      <w:jc w:val="left"/>
    </w:pPr>
    <w:rPr>
      <w:rFonts w:ascii="Calibri" w:hAnsi="Calibri" w:eastAsia="Calibri" w:cs="Calibri"/>
      <w:color w:val="00000A"/>
      <w:kern w:val="0"/>
      <w:sz w:val="22"/>
      <w:szCs w:val="22"/>
      <w:lang w:val="es-ES" w:eastAsia="es-ES" w:bidi="ar-SA"/>
    </w:rPr>
  </w:style>
  <w:style w:type="paragraph" w:styleId="Ttulo1">
    <w:name w:val="Heading 1"/>
    <w:basedOn w:val="Normal"/>
    <w:next w:val="Normal"/>
    <w:qFormat/>
    <w:pPr>
      <w:keepNext w:val="true"/>
      <w:keepLines/>
      <w:spacing w:before="480" w:after="120"/>
      <w:outlineLvl w:val="0"/>
    </w:pPr>
    <w:rPr>
      <w:b/>
      <w:sz w:val="48"/>
      <w:szCs w:val="48"/>
    </w:rPr>
  </w:style>
  <w:style w:type="paragraph" w:styleId="Ttulo2">
    <w:name w:val="Heading 2"/>
    <w:basedOn w:val="Normal"/>
    <w:next w:val="Normal"/>
    <w:qFormat/>
    <w:pPr>
      <w:keepNext w:val="true"/>
      <w:keepLines/>
      <w:spacing w:before="360" w:after="80"/>
      <w:outlineLvl w:val="1"/>
    </w:pPr>
    <w:rPr>
      <w:b/>
      <w:sz w:val="36"/>
      <w:szCs w:val="36"/>
    </w:rPr>
  </w:style>
  <w:style w:type="paragraph" w:styleId="Ttulo3">
    <w:name w:val="Heading 3"/>
    <w:basedOn w:val="Normal"/>
    <w:next w:val="Normal"/>
    <w:qFormat/>
    <w:pPr>
      <w:keepNext w:val="true"/>
      <w:keepLines/>
      <w:spacing w:before="280" w:after="80"/>
      <w:outlineLvl w:val="2"/>
    </w:pPr>
    <w:rPr>
      <w:b/>
      <w:sz w:val="28"/>
      <w:szCs w:val="28"/>
    </w:rPr>
  </w:style>
  <w:style w:type="paragraph" w:styleId="Ttulo4">
    <w:name w:val="Heading 4"/>
    <w:basedOn w:val="Normal"/>
    <w:next w:val="Normal"/>
    <w:qFormat/>
    <w:pPr>
      <w:keepNext w:val="true"/>
      <w:keepLines/>
      <w:spacing w:before="240" w:after="40"/>
      <w:outlineLvl w:val="3"/>
    </w:pPr>
    <w:rPr>
      <w:b/>
      <w:sz w:val="24"/>
      <w:szCs w:val="24"/>
    </w:rPr>
  </w:style>
  <w:style w:type="paragraph" w:styleId="Ttulo5">
    <w:name w:val="Heading 5"/>
    <w:basedOn w:val="Normal"/>
    <w:next w:val="Normal"/>
    <w:qFormat/>
    <w:pPr>
      <w:keepNext w:val="true"/>
      <w:keepLines/>
      <w:spacing w:before="220" w:after="40"/>
      <w:outlineLvl w:val="4"/>
    </w:pPr>
    <w:rPr>
      <w:b/>
    </w:rPr>
  </w:style>
  <w:style w:type="paragraph" w:styleId="Ttulo6">
    <w:name w:val="Heading 6"/>
    <w:basedOn w:val="Normal"/>
    <w:next w:val="Normal"/>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link w:val="Encabezado"/>
    <w:uiPriority w:val="99"/>
    <w:qFormat/>
    <w:rsid w:val="0087523a"/>
    <w:rPr/>
  </w:style>
  <w:style w:type="character" w:styleId="PiedepginaCar" w:customStyle="1">
    <w:name w:val="Pie de página Car"/>
    <w:basedOn w:val="DefaultParagraphFont"/>
    <w:link w:val="Piedepgina"/>
    <w:uiPriority w:val="99"/>
    <w:qFormat/>
    <w:rsid w:val="0087523a"/>
    <w:rPr/>
  </w:style>
  <w:style w:type="character" w:styleId="Pagenumber">
    <w:name w:val="page number"/>
    <w:basedOn w:val="DefaultParagraphFont"/>
    <w:uiPriority w:val="99"/>
    <w:qFormat/>
    <w:rsid w:val="009c33ec"/>
    <w:rPr/>
  </w:style>
  <w:style w:type="character" w:styleId="DC1Car" w:customStyle="1">
    <w:name w:val="DC1 Car"/>
    <w:basedOn w:val="DefaultParagraphFont"/>
    <w:link w:val="DC1"/>
    <w:qFormat/>
    <w:rsid w:val="00e77f4c"/>
    <w:rPr>
      <w:rFonts w:ascii="Calibri" w:hAnsi="Calibri" w:eastAsia="Calibri" w:cs="" w:asciiTheme="minorHAnsi" w:cstheme="minorBidi" w:eastAsiaTheme="minorHAnsi" w:hAnsiTheme="minorHAnsi"/>
      <w:color w:val="auto"/>
      <w:sz w:val="18"/>
      <w:szCs w:val="18"/>
      <w:lang w:eastAsia="en-US"/>
    </w:rPr>
  </w:style>
  <w:style w:type="character" w:styleId="Smbolosdenumeracin">
    <w:name w:val="Símbolos de numeración"/>
    <w:qFormat/>
    <w:rPr/>
  </w:style>
  <w:style w:type="paragraph" w:styleId="Ttulo">
    <w:name w:val="Título"/>
    <w:basedOn w:val="Normal"/>
    <w:next w:val="Cuerpodetexto"/>
    <w:qFormat/>
    <w:pPr>
      <w:keepNext w:val="true"/>
      <w:spacing w:before="240" w:after="120"/>
    </w:pPr>
    <w:rPr>
      <w:rFonts w:ascii="Liberation Sans" w:hAnsi="Liberation Sans" w:eastAsia="Microsoft YaHei" w:cs="Lucida Sans"/>
      <w:sz w:val="28"/>
      <w:szCs w:val="28"/>
    </w:rPr>
  </w:style>
  <w:style w:type="paragraph" w:styleId="Cuerpodetexto">
    <w:name w:val="Body Text"/>
    <w:basedOn w:val="Normal"/>
    <w:pPr>
      <w:spacing w:before="0" w:after="140"/>
    </w:pPr>
    <w:rPr/>
  </w:style>
  <w:style w:type="paragraph" w:styleId="Lista">
    <w:name w:val="List"/>
    <w:basedOn w:val="Cuerpodetexto"/>
    <w:pPr/>
    <w:rPr>
      <w:rFonts w:cs="Lucida Sans"/>
    </w:rPr>
  </w:style>
  <w:style w:type="paragraph" w:styleId="Leyenda">
    <w:name w:val="Caption"/>
    <w:basedOn w:val="Normal"/>
    <w:qFormat/>
    <w:pPr>
      <w:suppressLineNumbers/>
      <w:spacing w:before="120" w:after="120"/>
    </w:pPr>
    <w:rPr>
      <w:rFonts w:cs="Lucida Sans"/>
      <w:i/>
      <w:iCs/>
      <w:sz w:val="24"/>
      <w:szCs w:val="24"/>
    </w:rPr>
  </w:style>
  <w:style w:type="paragraph" w:styleId="Ndice" w:customStyle="1">
    <w:name w:val="Índice"/>
    <w:basedOn w:val="Normal"/>
    <w:qFormat/>
    <w:pPr>
      <w:suppressLineNumbers/>
    </w:pPr>
    <w:rPr>
      <w:rFonts w:cs="Lucida Sans"/>
    </w:rPr>
  </w:style>
  <w:style w:type="paragraph" w:styleId="Titular">
    <w:name w:val="Title"/>
    <w:basedOn w:val="Normal"/>
    <w:next w:val="Cuerpodetexto"/>
    <w:qFormat/>
    <w:pPr>
      <w:keepNext w:val="true"/>
      <w:spacing w:before="240" w:after="120"/>
    </w:pPr>
    <w:rPr>
      <w:rFonts w:ascii="Liberation Sans" w:hAnsi="Liberation Sans" w:eastAsia="Microsoft YaHei" w:cs="Lucida Sans"/>
      <w:sz w:val="28"/>
      <w:szCs w:val="28"/>
    </w:rPr>
  </w:style>
  <w:style w:type="paragraph" w:styleId="Caption">
    <w:name w:val="caption"/>
    <w:basedOn w:val="Normal"/>
    <w:qFormat/>
    <w:pPr>
      <w:suppressLineNumbers/>
      <w:spacing w:before="120" w:after="120"/>
    </w:pPr>
    <w:rPr>
      <w:rFonts w:cs="Lucida Sans"/>
      <w:i/>
      <w:iCs/>
      <w:sz w:val="24"/>
      <w:szCs w:val="24"/>
    </w:rPr>
  </w:style>
  <w:style w:type="paragraph" w:styleId="Cabeceraypie">
    <w:name w:val="Cabecera y pie"/>
    <w:basedOn w:val="Normal"/>
    <w:qFormat/>
    <w:pPr/>
    <w:rPr/>
  </w:style>
  <w:style w:type="paragraph" w:styleId="Cabecera">
    <w:name w:val="Header"/>
    <w:basedOn w:val="Normal"/>
    <w:link w:val="EncabezadoCar"/>
    <w:uiPriority w:val="99"/>
    <w:unhideWhenUsed/>
    <w:rsid w:val="0087523a"/>
    <w:pPr>
      <w:tabs>
        <w:tab w:val="clear" w:pos="720"/>
        <w:tab w:val="center" w:pos="4252" w:leader="none"/>
        <w:tab w:val="right" w:pos="8504" w:leader="none"/>
      </w:tabs>
      <w:spacing w:lineRule="auto" w:line="240" w:before="0" w:after="0"/>
    </w:pPr>
    <w:rPr/>
  </w:style>
  <w:style w:type="paragraph" w:styleId="Piedepgina">
    <w:name w:val="Footer"/>
    <w:basedOn w:val="Normal"/>
    <w:link w:val="PiedepginaCar"/>
    <w:uiPriority w:val="99"/>
    <w:unhideWhenUsed/>
    <w:rsid w:val="0087523a"/>
    <w:pPr>
      <w:tabs>
        <w:tab w:val="clear" w:pos="720"/>
        <w:tab w:val="center" w:pos="4252" w:leader="none"/>
        <w:tab w:val="right" w:pos="8504" w:leader="none"/>
      </w:tabs>
      <w:spacing w:lineRule="auto" w:line="240" w:before="0" w:after="0"/>
    </w:pPr>
    <w:rPr/>
  </w:style>
  <w:style w:type="paragraph" w:styleId="Organization" w:customStyle="1">
    <w:name w:val="Organization"/>
    <w:basedOn w:val="Normal"/>
    <w:uiPriority w:val="5"/>
    <w:qFormat/>
    <w:rsid w:val="009c33ec"/>
    <w:pPr>
      <w:spacing w:lineRule="auto" w:line="240" w:before="20" w:after="40"/>
    </w:pPr>
    <w:rPr>
      <w:rFonts w:ascii="Cambria" w:hAnsi="Cambria" w:eastAsia="" w:cs="" w:asciiTheme="majorHAnsi" w:cstheme="majorBidi" w:eastAsiaTheme="majorEastAsia" w:hAnsiTheme="majorHAnsi"/>
      <w:b/>
      <w:bCs/>
      <w:caps/>
      <w:color w:val="365F91" w:themeColor="accent1" w:themeShade="bf"/>
      <w:lang w:val="en-US" w:eastAsia="ja-JP"/>
    </w:rPr>
  </w:style>
  <w:style w:type="paragraph" w:styleId="Subttulo">
    <w:name w:val="Subtitle"/>
    <w:basedOn w:val="Normal"/>
    <w:next w:val="Normal"/>
    <w:qFormat/>
    <w:pPr>
      <w:keepNext w:val="true"/>
      <w:keepLines/>
      <w:spacing w:before="360" w:after="80"/>
    </w:pPr>
    <w:rPr>
      <w:rFonts w:ascii="Georgia" w:hAnsi="Georgia" w:eastAsia="Georgia" w:cs="Georgia"/>
      <w:i/>
      <w:color w:val="666666"/>
      <w:sz w:val="48"/>
      <w:szCs w:val="48"/>
    </w:rPr>
  </w:style>
  <w:style w:type="paragraph" w:styleId="DC1" w:customStyle="1">
    <w:name w:val="DC1"/>
    <w:basedOn w:val="Lista"/>
    <w:link w:val="DC1Car"/>
    <w:autoRedefine/>
    <w:qFormat/>
    <w:rsid w:val="00e77f4c"/>
    <w:pPr>
      <w:tabs>
        <w:tab w:val="clear" w:pos="720"/>
        <w:tab w:val="left" w:pos="227" w:leader="none"/>
      </w:tabs>
      <w:spacing w:lineRule="auto" w:line="240" w:before="0" w:after="0"/>
      <w:contextualSpacing/>
      <w:jc w:val="center"/>
    </w:pPr>
    <w:rPr>
      <w:rFonts w:ascii="Calibri" w:hAnsi="Calibri" w:eastAsia="Calibri" w:cs="" w:asciiTheme="minorHAnsi" w:cstheme="minorBidi" w:eastAsiaTheme="minorHAnsi" w:hAnsiTheme="minorHAnsi"/>
      <w:color w:val="auto"/>
      <w:sz w:val="18"/>
      <w:szCs w:val="18"/>
      <w:lang w:eastAsia="en-US"/>
    </w:rPr>
  </w:style>
  <w:style w:type="paragraph" w:styleId="NormalWeb">
    <w:name w:val="Normal (Web)"/>
    <w:basedOn w:val="Normal"/>
    <w:uiPriority w:val="99"/>
    <w:unhideWhenUsed/>
    <w:qFormat/>
    <w:rsid w:val="002a7308"/>
    <w:pPr>
      <w:spacing w:lineRule="auto" w:line="240" w:beforeAutospacing="1" w:afterAutospacing="1"/>
    </w:pPr>
    <w:rPr>
      <w:rFonts w:ascii="Times New Roman" w:hAnsi="Times New Roman" w:eastAsia="Times New Roman" w:cs="Times New Roman"/>
      <w:color w:val="auto"/>
      <w:sz w:val="24"/>
      <w:szCs w:val="24"/>
    </w:rPr>
  </w:style>
  <w:style w:type="paragraph" w:styleId="Default" w:customStyle="1">
    <w:name w:val="Default"/>
    <w:qFormat/>
    <w:rsid w:val="00e04b5f"/>
    <w:pPr>
      <w:widowControl/>
      <w:bidi w:val="0"/>
      <w:spacing w:lineRule="auto" w:line="240" w:before="0" w:after="0"/>
      <w:jc w:val="left"/>
    </w:pPr>
    <w:rPr>
      <w:rFonts w:ascii="Calibri" w:hAnsi="Calibri" w:eastAsia="Calibri" w:cs="Calibri"/>
      <w:color w:val="000000"/>
      <w:kern w:val="0"/>
      <w:sz w:val="24"/>
      <w:szCs w:val="24"/>
      <w:lang w:val="es-ES" w:eastAsia="es-ES" w:bidi="ar-SA"/>
    </w:rPr>
  </w:style>
  <w:style w:type="paragraph" w:styleId="ListParagraph">
    <w:name w:val="List Paragraph"/>
    <w:basedOn w:val="Normal"/>
    <w:uiPriority w:val="34"/>
    <w:qFormat/>
    <w:rsid w:val="005d47f9"/>
    <w:pPr>
      <w:spacing w:before="0" w:after="200"/>
      <w:ind w:left="720" w:hanging="0"/>
      <w:contextualSpacing/>
    </w:pPr>
    <w:rPr/>
  </w:style>
  <w:style w:type="paragraph" w:styleId="LOnormal">
    <w:name w:val="LO-normal"/>
    <w:qFormat/>
    <w:pPr>
      <w:widowControl/>
      <w:suppressAutoHyphens w:val="true"/>
      <w:bidi w:val="0"/>
      <w:spacing w:lineRule="auto" w:line="276" w:before="0" w:after="200"/>
      <w:jc w:val="left"/>
    </w:pPr>
    <w:rPr>
      <w:rFonts w:ascii="Calibri" w:hAnsi="Calibri" w:eastAsia="Calibri" w:cs="Calibri"/>
      <w:color w:val="00000A"/>
      <w:kern w:val="0"/>
      <w:sz w:val="22"/>
      <w:szCs w:val="22"/>
      <w:lang w:val="es-ES" w:eastAsia="zh-CN" w:bidi="hi-IN"/>
    </w:rPr>
  </w:style>
  <w:style w:type="paragraph" w:styleId="Contenidodelatabla">
    <w:name w:val="Contenido de la tabla"/>
    <w:basedOn w:val="Normal"/>
    <w:qFormat/>
    <w:pPr>
      <w:suppressLineNumbers/>
    </w:pPr>
    <w:rPr/>
  </w:style>
  <w:style w:type="paragraph" w:styleId="Ttulodelatabla">
    <w:name w:val="Título de la tabla"/>
    <w:basedOn w:val="Contenidodelatabla"/>
    <w:qFormat/>
    <w:pPr>
      <w:suppressLineNumbers/>
      <w:jc w:val="center"/>
    </w:pPr>
    <w:rPr>
      <w:b/>
      <w:bCs/>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 w:type="table" w:customStyle="1" w:styleId="TableNormal0">
    <w:name w:val="Table Normal"/>
    <w:tblPr>
      <w:tblCellMar>
        <w:top w:w="0" w:type="dxa"/>
        <w:left w:w="0" w:type="dxa"/>
        <w:bottom w:w="0" w:type="dxa"/>
        <w:right w:w="0" w:type="dxa"/>
      </w:tblCellMar>
    </w:tblPr>
  </w:style>
  <w:style w:type="table" w:customStyle="1" w:styleId="Sombreadoclaro-nfasis11">
    <w:name w:val="Sombreado claro - Énfasis 11"/>
    <w:basedOn w:val="Tablanormal"/>
    <w:uiPriority w:val="60"/>
    <w:rsid w:val="0087523a"/>
    <w:rPr>
      <w:color w:val="365F91" w:themeColor="accent1" w:themeShade="bf"/>
    </w:rPr>
    <w:tblPr>
      <w:tblStyleRowBandSize w:val="1"/>
      <w:tblStyleColBandSize w:val="1"/>
      <w:tblInd w:w="0" w:type="dxa"/>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ablaconcuadrcula">
    <w:name w:val="Table Grid"/>
    <w:basedOn w:val="Tablanormal"/>
    <w:uiPriority w:val="39"/>
    <w:rsid w:val="00b558b2"/>
    <w:pPr>
      <w:spacing w:after="0" w:line="240" w:lineRule="auto"/>
    </w:pPr>
    <w:rPr>
      <w:rFonts w:asciiTheme="minorHAnsi" w:hAnsiTheme="minorHAnsi" w:eastAsiaTheme="minorHAnsi" w:cstheme="minorBidi"/>
      <w:lang w:eastAsia="en-US"/>
      <w:color w:val="auto"/>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Relationship Id="rId9" Type="http://schemas.openxmlformats.org/officeDocument/2006/relationships/customXml" Target="../customXml/item2.xml"/>
</Relationships>
</file>

<file path=word/_rels/header1.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eg"/>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go:gDocsCustomXmlDataStorage xmlns:go="http://customooxmlschemas.google.com/" xmlns:r="http://schemas.openxmlformats.org/officeDocument/2006/relationships">
  <go:docsCustomData roundtripDataSignature="AMtx7mgEfqukn5nydvjSr8kdn2b2u3aZLw==">AMUW2mUcjrRn44Aw1gL5cXYhKi0h1eOitUtObbg4TJU3qnLZcfPUuiSgavXWto1C8i7qUKg5UOK5NB3FZlDOi0RCaEjL5UCJberTUSla1osJWqTwwE0a2N87N6+Ffz9ps651iiwsTD/J</go:docsCustomData>
</go:gDocsCustomXmlDataStorage>
</file>

<file path=customXml/itemProps1.xml><?xml version="1.0" encoding="utf-8"?>
<ds:datastoreItem xmlns:ds="http://schemas.openxmlformats.org/officeDocument/2006/customXml" ds:itemID="{7496152F-7D36-491B-BAC0-080329D4122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4543</TotalTime>
  <Application>LibreOffice/6.3.3.2$Windows_X86_64 LibreOffice_project/a64200df03143b798afd1ec74a12ab50359878ed</Application>
  <Pages>29</Pages>
  <Words>10416</Words>
  <Characters>57159</Characters>
  <CharactersWithSpaces>67310</CharactersWithSpaces>
  <Paragraphs>389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2023-05-16T08:50:00Z</dcterms:created>
  <dc:creator>Esther</dc:creator>
  <dc:description/>
  <dc:language>es-ES</dc:language>
  <cp:lastModifiedBy/>
  <dcterms:modified xsi:type="dcterms:W3CDTF">2025-10-15T13:07:55Z</dcterms:modified>
  <cp:revision>29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