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media/image2.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mbria" w:hAnsi="Cambria"/>
          <w:sz w:val="22"/>
          <w:szCs w:val="22"/>
          <w:u w:val="single"/>
        </w:rPr>
      </w:pPr>
      <w:r>
        <w:rPr>
          <w:rFonts w:ascii="Cambria" w:hAnsi="Cambria"/>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tbl>
      <w:tblPr>
        <w:tblStyle w:val="a0"/>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color w:val="FFFFFF"/>
                <w:sz w:val="28"/>
                <w:szCs w:val="28"/>
              </w:rPr>
            </w:pPr>
            <w:r>
              <w:rPr>
                <w:rFonts w:ascii="Cambria" w:hAnsi="Cambria"/>
                <w:color w:val="FFFFFF"/>
                <w:sz w:val="22"/>
                <w:szCs w:val="22"/>
              </w:rPr>
              <w:t xml:space="preserve">IES LA PUEBLA DE  </w:t>
            </w:r>
          </w:p>
          <w:p>
            <w:pPr>
              <w:pStyle w:val="Normal"/>
              <w:spacing w:before="0" w:after="200"/>
              <w:jc w:val="center"/>
              <w:rPr>
                <w:u w:val="single"/>
              </w:rPr>
            </w:pPr>
            <w:r>
              <w:rPr>
                <w:rFonts w:ascii="Cambria" w:hAnsi="Cambria"/>
                <w:color w:val="FFFFFF"/>
                <w:sz w:val="22"/>
                <w:szCs w:val="22"/>
              </w:rPr>
              <w:t xml:space="preserve">             </w:t>
            </w:r>
            <w:r>
              <w:rPr>
                <w:rFonts w:ascii="Cambria" w:hAnsi="Cambria"/>
                <w:color w:val="FFFFFF"/>
                <w:sz w:val="22"/>
                <w:szCs w:val="22"/>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sz w:val="28"/>
                <w:szCs w:val="28"/>
              </w:rPr>
            </w:pPr>
            <w:r>
              <w:rPr>
                <w:rFonts w:ascii="Cambria" w:hAnsi="Cambria"/>
                <w:b w:val="false"/>
                <w:color w:val="1F497D"/>
                <w:sz w:val="22"/>
                <w:szCs w:val="22"/>
              </w:rPr>
              <w:t xml:space="preserve">PROGRAMACIÓN DIDÁCTICA DE FÍSICA Y QUÍMICA </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rPr>
            </w:pPr>
            <w:r>
              <w:rPr>
                <w:rFonts w:ascii="Cambria" w:hAnsi="Cambria"/>
                <w:b w:val="false"/>
                <w:color w:val="1F497D"/>
                <w:sz w:val="22"/>
                <w:szCs w:val="22"/>
              </w:rPr>
              <w:t>4º EDUCACIÓN SECUNDARIA OBLIGATORIA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0" w:name="_heading=h.gjdgxs"/>
            <w:bookmarkEnd w:id="0"/>
            <w:r>
              <w:rPr>
                <w:rFonts w:ascii="Cambria" w:hAnsi="Cambria"/>
                <w:b w:val="false"/>
                <w:color w:val="1F497D"/>
                <w:sz w:val="22"/>
                <w:szCs w:val="22"/>
              </w:rPr>
              <w:t>CURSO 2025-2026</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spacing w:before="0" w:after="200"/>
              <w:cnfStyle w:val="100000000000" w:firstRow="1" w:lastRow="0" w:firstColumn="0" w:lastColumn="0" w:oddVBand="0" w:evenVBand="0" w:oddHBand="0" w:evenHBand="0" w:firstRowFirstColumn="0" w:firstRowLastColumn="0" w:lastRowFirstColumn="0" w:lastRowLastColumn="0"/>
              <w:rPr>
                <w:rFonts w:ascii="Cambria" w:hAnsi="Cambria"/>
                <w:sz w:val="22"/>
                <w:szCs w:val="22"/>
                <w:u w:val="single"/>
              </w:rPr>
            </w:pPr>
            <w:r>
              <w:rPr>
                <w:rFonts w:ascii="Cambria" w:hAnsi="Cambria"/>
                <w:sz w:val="22"/>
                <w:szCs w:val="22"/>
                <w:u w:val="single"/>
              </w:rPr>
            </w:r>
          </w:p>
        </w:tc>
      </w:tr>
    </w:tbl>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jc w:val="both"/>
        <w:rPr>
          <w:rFonts w:ascii="Cambria" w:hAnsi="Cambria" w:eastAsia="Cambria" w:cs="Cambria"/>
          <w:b/>
          <w:b/>
          <w:u w:val="single"/>
        </w:rPr>
      </w:pPr>
      <w:r>
        <w:br w:type="column"/>
      </w:r>
      <w:r>
        <w:rPr>
          <w:rFonts w:eastAsia="Cambria" w:cs="Cambria"/>
          <w:b/>
          <w:sz w:val="22"/>
          <w:szCs w:val="22"/>
          <w:u w:val="single"/>
        </w:rPr>
        <w:t>ÍNDICE</w:t>
      </w:r>
    </w:p>
    <w:p>
      <w:pPr>
        <w:pStyle w:val="Normal"/>
        <w:jc w:val="both"/>
        <w:rPr>
          <w:rFonts w:ascii="Cambria" w:hAnsi="Cambria" w:eastAsia="Cambria" w:cs="Cambria"/>
        </w:rPr>
      </w:pPr>
      <w:r>
        <w:rPr>
          <w:rFonts w:eastAsia="Cambria" w:cs="Cambria"/>
          <w:sz w:val="22"/>
          <w:szCs w:val="22"/>
        </w:rPr>
        <w:t>INTRODUCCIÓN</w:t>
      </w:r>
    </w:p>
    <w:p>
      <w:pPr>
        <w:pStyle w:val="Normal"/>
        <w:jc w:val="both"/>
        <w:rPr>
          <w:rFonts w:ascii="Cambria" w:hAnsi="Cambria" w:eastAsia="Cambria" w:cs="Cambria"/>
        </w:rPr>
      </w:pPr>
      <w:r>
        <w:rPr>
          <w:rFonts w:eastAsia="Cambria" w:cs="Cambria"/>
          <w:sz w:val="22"/>
          <w:szCs w:val="22"/>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2. CONCRECIÓN, AGRUPAMIENTO Y SECUENCIACIÓN DE LOS SABERES BÁSICOS Y DE LOS CRITERIOS DE EVALUACIÓN EN UNIDADES DIDÁCTICAS</w:t>
      </w:r>
    </w:p>
    <w:p>
      <w:pPr>
        <w:pStyle w:val="Normal"/>
        <w:jc w:val="both"/>
        <w:rPr>
          <w:rFonts w:ascii="Cambria" w:hAnsi="Cambria" w:eastAsia="Cambria" w:cs="Cambria"/>
        </w:rPr>
      </w:pPr>
      <w:r>
        <w:rPr>
          <w:rFonts w:eastAsia="Cambria" w:cs="Cambria"/>
          <w:sz w:val="22"/>
          <w:szCs w:val="22"/>
        </w:rPr>
        <w:t>3. PROCEDIMIENTOS E INSTRUMENTOS DE EVALUACIÓN</w:t>
      </w:r>
    </w:p>
    <w:p>
      <w:pPr>
        <w:pStyle w:val="Normal"/>
        <w:jc w:val="both"/>
        <w:rPr>
          <w:rFonts w:ascii="Calibri" w:hAnsi="Calibri"/>
          <w:sz w:val="22"/>
          <w:szCs w:val="22"/>
        </w:rPr>
      </w:pPr>
      <w:r>
        <w:rPr>
          <w:rFonts w:eastAsia="Cambria" w:cs="Cambria"/>
          <w:sz w:val="22"/>
          <w:szCs w:val="22"/>
        </w:rPr>
        <w:t xml:space="preserve">4. CRITERIOS DE CALIFICACIÓN Y RELACIÓN CON CRITERIOS DE EVALUACIÓN </w:t>
      </w:r>
    </w:p>
    <w:p>
      <w:pPr>
        <w:pStyle w:val="Normal"/>
        <w:jc w:val="both"/>
        <w:rPr>
          <w:rFonts w:ascii="Cambria" w:hAnsi="Cambria" w:eastAsia="Cambria" w:cs="Cambria"/>
        </w:rPr>
      </w:pPr>
      <w:r>
        <w:rPr>
          <w:rFonts w:eastAsia="Cambria" w:cs="Cambria"/>
          <w:sz w:val="22"/>
          <w:szCs w:val="22"/>
        </w:rPr>
        <w:t>5. EVALUACIÓN INICIAL</w:t>
      </w:r>
    </w:p>
    <w:p>
      <w:pPr>
        <w:pStyle w:val="Normal"/>
        <w:jc w:val="both"/>
        <w:rPr>
          <w:rFonts w:ascii="Cambria" w:hAnsi="Cambria" w:eastAsia="Cambria" w:cs="Cambria"/>
        </w:rPr>
      </w:pPr>
      <w:r>
        <w:rPr>
          <w:rFonts w:eastAsia="Cambria" w:cs="Cambria"/>
          <w:sz w:val="22"/>
          <w:szCs w:val="22"/>
        </w:rPr>
        <w:t xml:space="preserve">6. ACTUACIONES GENERALES DE ATENCIÓN A LAS DIFERENCIAS INDIVIDUALES Y ADAPTACIONES CURRICULARES </w:t>
      </w:r>
    </w:p>
    <w:p>
      <w:pPr>
        <w:pStyle w:val="Normal"/>
        <w:jc w:val="both"/>
        <w:rPr>
          <w:rFonts w:ascii="Cambria" w:hAnsi="Cambria" w:eastAsia="Cambria" w:cs="Cambria"/>
        </w:rPr>
      </w:pPr>
      <w:r>
        <w:rPr>
          <w:rFonts w:eastAsia="Cambria" w:cs="Cambria"/>
          <w:sz w:val="22"/>
          <w:szCs w:val="22"/>
        </w:rPr>
        <w:t>7. PLAN DE SEGUIMIENTO PARA EL ALUMNADO QUE NO HA PROMOCIONADO</w:t>
      </w:r>
    </w:p>
    <w:p>
      <w:pPr>
        <w:pStyle w:val="Normal"/>
        <w:jc w:val="both"/>
        <w:rPr>
          <w:rFonts w:ascii="Cambria" w:hAnsi="Cambria" w:eastAsia="Cambria" w:cs="Cambria"/>
        </w:rPr>
      </w:pPr>
      <w:r>
        <w:rPr>
          <w:rFonts w:eastAsia="Cambria" w:cs="Cambria"/>
          <w:sz w:val="22"/>
          <w:szCs w:val="22"/>
        </w:rPr>
        <w:t>8. PLAN DE REFUERZO PARA MATERIAS O ÁMBITOS NO SUPERADOS</w:t>
      </w:r>
    </w:p>
    <w:p>
      <w:pPr>
        <w:pStyle w:val="Normal"/>
        <w:jc w:val="both"/>
        <w:rPr>
          <w:rFonts w:ascii="Cambria" w:hAnsi="Cambria" w:eastAsia="Cambria" w:cs="Cambria"/>
        </w:rPr>
      </w:pPr>
      <w:r>
        <w:rPr>
          <w:rFonts w:eastAsia="Cambria" w:cs="Cambria"/>
          <w:sz w:val="22"/>
          <w:szCs w:val="22"/>
        </w:rPr>
        <w:t>9. ESTRATEGIAS DIDÁCTICAS Y METODOLÓGICAS</w:t>
      </w:r>
    </w:p>
    <w:p>
      <w:pPr>
        <w:pStyle w:val="Normal"/>
        <w:jc w:val="both"/>
        <w:rPr>
          <w:rFonts w:ascii="Cambria" w:hAnsi="Cambria" w:eastAsia="Cambria" w:cs="Cambria"/>
        </w:rPr>
      </w:pPr>
      <w:r>
        <w:rPr>
          <w:rFonts w:eastAsia="Cambria" w:cs="Cambria"/>
          <w:sz w:val="22"/>
          <w:szCs w:val="22"/>
        </w:rPr>
        <w:t>10. CONCRECIÓN DEL PLAN LECTOR</w:t>
      </w:r>
    </w:p>
    <w:p>
      <w:pPr>
        <w:pStyle w:val="Normal"/>
        <w:jc w:val="both"/>
        <w:rPr>
          <w:rFonts w:ascii="Cambria" w:hAnsi="Cambria" w:eastAsia="Cambria" w:cs="Cambria"/>
        </w:rPr>
      </w:pPr>
      <w:r>
        <w:rPr>
          <w:rFonts w:eastAsia="Cambria" w:cs="Cambria"/>
          <w:sz w:val="22"/>
          <w:szCs w:val="22"/>
        </w:rPr>
        <w:t>11. CONCRECIÓN DEL PLAN DE IMPLEMENTACIÓN DE ELEMENTOS TRANSVERSALES</w:t>
      </w:r>
    </w:p>
    <w:p>
      <w:pPr>
        <w:pStyle w:val="Normal"/>
        <w:jc w:val="both"/>
        <w:rPr>
          <w:rFonts w:ascii="Cambria" w:hAnsi="Cambria" w:eastAsia="Cambria" w:cs="Cambria"/>
        </w:rPr>
      </w:pPr>
      <w:r>
        <w:rPr>
          <w:rFonts w:eastAsia="Cambria" w:cs="Cambria"/>
          <w:sz w:val="22"/>
          <w:szCs w:val="22"/>
        </w:rPr>
        <w:t xml:space="preserve">12. CONCRECIÓN DEL PLAN DE UTILIZACIÓN DE LAS TECNOLOGÍAS DIGITALES </w:t>
      </w:r>
    </w:p>
    <w:p>
      <w:pPr>
        <w:pStyle w:val="Normal"/>
        <w:jc w:val="both"/>
        <w:rPr>
          <w:rFonts w:ascii="Cambria" w:hAnsi="Cambria" w:eastAsia="Cambria" w:cs="Cambria"/>
        </w:rPr>
      </w:pPr>
      <w:r>
        <w:rPr>
          <w:rFonts w:eastAsia="Cambria" w:cs="Cambria"/>
          <w:sz w:val="22"/>
          <w:szCs w:val="22"/>
        </w:rPr>
        <w:t>13. EN SU CASO, MEDIDAS COMPLEMENTARIAS QUE SE PLANTEAN PARA EL TRATAMIENTO DE LAS MATERIAS DENTRO DEL PROYECTO BILINGÜE</w:t>
      </w:r>
    </w:p>
    <w:p>
      <w:pPr>
        <w:pStyle w:val="Normal"/>
        <w:jc w:val="both"/>
        <w:rPr>
          <w:rFonts w:ascii="Cambria" w:hAnsi="Cambria" w:eastAsia="Cambria" w:cs="Cambria"/>
        </w:rPr>
      </w:pPr>
      <w:r>
        <w:rPr>
          <w:rFonts w:eastAsia="Cambria" w:cs="Cambria"/>
          <w:sz w:val="22"/>
          <w:szCs w:val="22"/>
        </w:rPr>
        <w:t>14. MECANISMOS DE REVISIÓN, EVALUACIÓN Y MODIFICACIÓN DE LAS PROGRAMACIONES DIDÁCTICAS</w:t>
      </w:r>
    </w:p>
    <w:p>
      <w:pPr>
        <w:pStyle w:val="Normal"/>
        <w:jc w:val="both"/>
        <w:rPr>
          <w:rFonts w:ascii="Cambria" w:hAnsi="Cambria" w:eastAsia="Cambria" w:cs="Cambria"/>
        </w:rPr>
      </w:pPr>
      <w:r>
        <w:rPr>
          <w:rFonts w:eastAsia="Cambria" w:cs="Cambria"/>
          <w:sz w:val="22"/>
          <w:szCs w:val="22"/>
        </w:rPr>
        <w:t>15. ACTIVIDADES COMPLEMENTARIAS Y EXTRAESCOLARES</w:t>
      </w:r>
    </w:p>
    <w:p>
      <w:pPr>
        <w:pStyle w:val="Normal"/>
        <w:jc w:val="both"/>
        <w:rPr>
          <w:rFonts w:ascii="Cambria" w:hAnsi="Cambria" w:eastAsia="Cambria" w:cs="Cambria"/>
          <w:smallCaps/>
        </w:rPr>
      </w:pPr>
      <w:r>
        <w:rPr>
          <w:rFonts w:eastAsia="Cambria" w:cs="Cambria"/>
          <w:smallCaps/>
          <w:sz w:val="22"/>
          <w:szCs w:val="22"/>
        </w:rPr>
        <w:t>16. FORMA EN LA QUE SE DAN A CONOCER LOS ASPECTOS RELEVANTES DE ESTA PROGRAMACIÓN AL ALUMNADO Y LAS FAMILIAS</w:t>
      </w:r>
    </w:p>
    <w:p>
      <w:pPr>
        <w:pStyle w:val="Normal"/>
        <w:jc w:val="both"/>
        <w:rPr>
          <w:rFonts w:ascii="Cambria" w:hAnsi="Cambria" w:eastAsia="Cambria" w:cs="Cambria"/>
        </w:rPr>
      </w:pPr>
      <w:r>
        <w:rPr>
          <w:rFonts w:eastAsia="Cambria" w:cs="Cambria"/>
          <w:sz w:val="22"/>
          <w:szCs w:val="22"/>
        </w:rPr>
        <w:t>17. OTRAS CONSIDERACIONES</w:t>
      </w:r>
    </w:p>
    <w:p>
      <w:pPr>
        <w:pStyle w:val="Normal"/>
        <w:jc w:val="both"/>
        <w:rPr>
          <w:rFonts w:ascii="Cambria" w:hAnsi="Cambria" w:eastAsia="Cambria" w:cs="Cambria"/>
          <w:b/>
          <w:b/>
          <w:u w:val="single"/>
        </w:rPr>
      </w:pPr>
      <w:r>
        <w:br w:type="column"/>
      </w:r>
      <w:r>
        <w:rPr>
          <w:rFonts w:eastAsia="Cambria" w:cs="Cambria"/>
          <w:b/>
          <w:sz w:val="22"/>
          <w:szCs w:val="22"/>
          <w:u w:val="single"/>
        </w:rPr>
        <w:t>INTRODUCCIÓN</w:t>
      </w:r>
    </w:p>
    <w:p>
      <w:pPr>
        <w:pStyle w:val="Normal"/>
        <w:jc w:val="both"/>
        <w:rPr>
          <w:rFonts w:ascii="Cambria" w:hAnsi="Cambria" w:eastAsia="Cambria" w:cs="Cambria"/>
        </w:rPr>
      </w:pPr>
      <w:r>
        <w:rPr>
          <w:rFonts w:eastAsia="Cambria" w:cs="Cambria"/>
          <w:sz w:val="22"/>
          <w:szCs w:val="22"/>
        </w:rPr>
        <w:t>Programación Didáctica de la materia Física y química perteneciente al cuarto curso de ESO.</w:t>
      </w:r>
    </w:p>
    <w:p>
      <w:pPr>
        <w:pStyle w:val="Normal"/>
        <w:jc w:val="both"/>
        <w:rPr>
          <w:rFonts w:ascii="Cambria" w:hAnsi="Cambria" w:eastAsia="Cambria" w:cs="Cambria"/>
        </w:rPr>
      </w:pPr>
      <w:r>
        <w:rPr>
          <w:rFonts w:eastAsia="Cambria" w:cs="Cambria"/>
          <w:sz w:val="22"/>
          <w:szCs w:val="22"/>
        </w:rPr>
        <w:t>La normativa básica para la elaboración de esta programación es:</w:t>
      </w:r>
    </w:p>
    <w:p>
      <w:pPr>
        <w:pStyle w:val="Normal"/>
        <w:numPr>
          <w:ilvl w:val="0"/>
          <w:numId w:val="1"/>
        </w:numPr>
        <w:jc w:val="both"/>
        <w:rPr>
          <w:rFonts w:ascii="Cambria" w:hAnsi="Cambria" w:eastAsia="Cambria" w:cs="Cambria"/>
        </w:rPr>
      </w:pPr>
      <w:r>
        <w:rPr>
          <w:rFonts w:eastAsia="Cambria" w:cs="Cambria"/>
          <w:i/>
          <w:sz w:val="22"/>
          <w:szCs w:val="22"/>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rFonts w:ascii="Cambria" w:hAnsi="Cambria" w:eastAsia="Cambria" w:cs="Cambria"/>
          <w:i/>
          <w:i/>
        </w:rPr>
      </w:pPr>
      <w:r>
        <w:rPr>
          <w:rFonts w:eastAsia="Cambria" w:cs="Cambria"/>
          <w:i/>
          <w:sz w:val="22"/>
          <w:szCs w:val="22"/>
        </w:rPr>
        <w:t>Orden ECD/1172/2022, de 2 de agosto, por la que se aprueban el currículo y las características de la evaluación de Educación Secundaria Obligatoria y se autoriza su aplicación en los centros docentes de la Comunidad Autónoma de Aragón.</w:t>
      </w:r>
    </w:p>
    <w:p>
      <w:pPr>
        <w:pStyle w:val="Normal"/>
        <w:jc w:val="both"/>
        <w:rPr>
          <w:rFonts w:ascii="Cambria" w:hAnsi="Cambria" w:eastAsia="Cambria" w:cs="Cambria"/>
          <w:b/>
          <w:b/>
          <w:u w:val="single"/>
        </w:rPr>
      </w:pPr>
      <w:r>
        <w:rPr>
          <w:rFonts w:eastAsia="Cambria" w:cs="Cambria"/>
          <w:b/>
          <w:sz w:val="22"/>
          <w:szCs w:val="22"/>
          <w:u w:val="single"/>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Tal y como establece la Orden ECD/1172/2022, las competencias específicas de la materia de Física y Química y su relación con los criterios de evaluación de 4º de ESO son las siguientes:</w:t>
      </w:r>
    </w:p>
    <w:tbl>
      <w:tblPr>
        <w:tblStyle w:val="Tablaconcuadrcula"/>
        <w:tblW w:w="9923" w:type="dxa"/>
        <w:jc w:val="center"/>
        <w:tblInd w:w="0" w:type="dxa"/>
        <w:tblCellMar>
          <w:top w:w="0" w:type="dxa"/>
          <w:left w:w="108" w:type="dxa"/>
          <w:bottom w:w="0" w:type="dxa"/>
          <w:right w:w="108" w:type="dxa"/>
        </w:tblCellMar>
        <w:tblLook w:firstRow="1" w:noVBand="1" w:lastRow="0" w:firstColumn="1" w:lastColumn="0" w:noHBand="0" w:val="04a0"/>
      </w:tblPr>
      <w:tblGrid>
        <w:gridCol w:w="4957"/>
        <w:gridCol w:w="4965"/>
      </w:tblGrid>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CE.FQ.1</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La valoración del grado de adquisición de esta competencia específica se realizará a través del planteamiento de situaciones problema en las que se deban aplicar las leyes y teorías científicas adecuadas, partiendo en los primeros cursos de situaciones simples que se resuelvan de forma directa y sencilla, para ir presentando a lo largo de la etapa situaciones más complejas y cercanas a la realidad que requieran relacionar diferentes conocimientos para su resolución. Se valorará el rigor en los planteamientos y desarrollos, especialmente en el razonamiento de los procedimientos evitando la aplicación mecánica de fórmulas y la presentación adecuada de los resultados utilizando las unidades de medida adecuadas.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1.2. Resolver los problemas fisicoquímicos planteados utilizando las leyes y teorías científicas adecuadas, razonando los procedimientos utilizados para encontrar las soluciones y expresando adecuadamente los resultados.</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1.1. Comprender y explicar con rigor los fenómenos fisicoquímicos cotidianos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1.2. Resolver problemas fisicoquímicos planteados mediante las leyes y teorías científicas adecuadas, razonando los procedimientos utilizados para encontrar las soluciones y expresando los resultados con corrección y precisión.</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1.3. 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CE.FQ.2</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Expresar las observaciones realizadas por el alumnado en forma de preguntas, formular hipótesis para explicarlas y demostrar dichas hipótesis a través de la experimentación científica, la indagación y la búsqueda de evidencias, para desarrollar los razonamientos propios del pensamiento científico y mejorar las destrezas en el uso de las metodologías científicas.</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Las metodologías de trabajo en la Ciencia que se plantean en esta competencia específica han mostrado su valor para el avance del conocimiento científico. Se valorará la adquisición de destrezas propias del trabajo científico a partir del planteamiento de situaciones en las que el alumnado deba poner en práctica estas metodologías, identificando cuestiones investigables, planteando hipótesis, diseñando experimentos sencillos para comprobar estas hipótesis y deduciendo de forma razonada conclusiones basándose en las evidencias disponibles. Se comprobará que el alumnado progresa a lo largo de la etapa de acuerdo con la evolución de sus mayores destrezas, especialmente las relacionadas con la capacidad de razonamiento y el de uso de las herramientas matemáticas.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científicos a partir de situaciones tanto observadas en el mundo natural como planteadas a través de enunciados con información textual, gráfica o numérica.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2.2. Predecir, para las cuestiones planteadas, respuestas que se puedan comprobar con las herramientas y conocimientos adquiridos, tanto de forma experimental como deductiva, aplicando el razonamiento lógico-matemático en su proceso de validación.</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2.3. 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CE.FQ.3</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(textos, enunciados, tablas, gráficas, informes, manuales, diagramas, fórmulas, esquemas, modelos, símbolos, etc.), para reconocer el carácter universal y transversal del lenguaje científico y la necesidad de una comunicación fiable en investigación y ciencia entre diferentes países y culturas.</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En un mundo globalizado, el uso de estándares es fundamental para el entendimiento y la colaboración que requiere el progreso científico. El alumnado deberá conocer las bases de los lenguajes utilizados en la Ciencia y demostrar que sabe utilizarlos de forma contextualizada. Para ello han de presentarse la información en diferentes formatos que será capaz de interpretar, primero de forma directa y limitando la información a la estrictamente necesaria, para progresivamente plantear situaciones en las que el alumnado demuestre que es capaz de seleccionar la información relevante y utilizarla de acuerdo con las reglas básicas tanto en el desarrollo de la resolución de problemas, como en la comunicación de los resultados.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3.1. 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3.2. 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3.3. Aplicar con rigor las normas de uso de los espacios específicos de la ciencia, como el laboratorio de Física y Química, asegurando la salud propia y colectiva, la conservación sostenible del medio ambiente y el cuidado por las instalaciones.</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CE.FQ.4</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El desarrollo de la Competencia Digital sigue siendo esencial en esta etapa de Secundaria por lo que se aborda como competencia transversal y debería estar adquirida al final de la enseñanza obligatoria. Durante toda la Secundaria, en el área de Física y Química, se permite al alumnado conocer las fuentes de información y las aplicaciones informáticas para analizar el entorno que le rodea. En este área, el alumnado también podrá desarrollar destrezas necesarias para acceder a la información, procesarla y usarla para comunicarse de manera responsable, diseñar y crear contenidos, y resolver los problemas reales de un modo eficiente. Se pretende enriquecer las actividades de trabajo colaborativo entre el alumnado aumentando su curiosidad científica y su motivación por el aprendizaje sin olvidar el respeto a los principios éticos de uso y el conocimiento de sus derechos y libertades en el mundo digital.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4.1. Utilizar recursos variados, tradicionales y digitales, mejorando el aprendizaje autónomo y la interacción con otros miembros de la comunidad educativa, con respeto hacia docentes y estudiantes y analizando críticamente las aportaciones de cada participante.</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4.1. Utilizar de forma eficiente recursos variados, tradicionales y digitales, mejorando el aprendizaje autónomo y la interacción con otros miembros de la comunidad educativa, de forma rigurosa y respetuosa y analizando críticamente las aportaciones de todos.</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4.2. 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CE.FQ.5</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El trabajo colaborativo es una metodología educativa que promueve el aprendizaje centrado en el alumno y basado en el trabajo en grupos pequeños, en los que el alumnado con diferente nivel de habilidad utiliza una variedad de actividades de aprendizaje para mejorar su entendimiento. Se trata de fomentar las interacciones constructivas entre los alumnos del equipo presentando situaciones relacionadas con diferentes ámbitos de la ciencia que les facilite aparecer como sujetos activos de su propio proceso de aprendizaje. Todo ello se llevará a cabo desde la garantía de la equidad entre mujeres y hombres, fomentando así la coeducación y disfrutando de la riqueza que ofrece la variedad. Asimismo, es necesario que el alumnado sea capaz de iniciar y llevar a cabo proyectos de carácter científico que tengan como base fundamental la metodología impartida. Todos ellos, deben de presentar un carácter integrador para que el alumno se implique en la mejora y enriquecimiento del ámbito social, fomentando así el aprendizaje significativo, y a su vez se reconozca y se reafirme la utilidad que poseen los resultados para el individuo como ser y como sociedad en continuo cambio. Concretamente, en 2º y 3º de la ESO, el alumnado debe de ser guiado a lo largo de la elaboración de los proyectos, brindándoles todo tipo de pautas para que en todo momento su trabajo esté encaminado hacia el producto final. Sin embargo, en 4º de la ESO, se considera que los alumnos deben comenzar a desarrollar estrategias de autonomía y emprendimiento, de tal manera que se fomente la autodisciplina, la creatividad y el compromiso, entre otros, pero siempre considerando al profesorado como guía principal.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5.1. Establecer interacciones constructivas y coeducativas, emprendiendo actividades de cooperación como forma de construir un medio de trabajo eficiente en la ciencia.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5.2. Emprender, de forma guiada y de acuerdo a la metodología adecuada, proyectos científicos que involucren al alumnado en la mejora de la sociedad y que creen valor para el individuo y para la comunidad.</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5.1. Establecer interacciones constructivas y coeducativas, emprendiendo actividades de cooperación e iniciando el uso de las estrategias propias del trabajo colaborativo, como forma de construir un medio de trabajo eficiente en la ciencia.</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5.2. Emprender, de forma autónoma y de acuerdo a la metodología adecuada, proyectos científicos que involucren al alumnado en la mejora de la sociedad y que creen valor para el individuo y para la comunidad.</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CE.FQ.6</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Se considera que el alumnado debe entender el concepto de ciencia vinculado a la sociedad, no como algo estático, sino como una constante evolución que a su vez es inherente al ser humano. En ella, la participación de los profesionales de la ciencia es tan importante como la propia interacción que ellos mismos deben llevar a cabo con la sociedad. En consecuencia, los resultados obtenidos, trascenderán de manera directa en el progreso de los diferentes ámbitos propios de la colectividad. Es esencial que el alumnado trabaje mediante un proceso de reconocimiento y valoración de los aspectos históricos más relevantes llevados a cabo por hombres y mujeres, así como el progreso de los mismos, teniendo también en cuenta los contextos contemporáneos. Algunos aspectos a considerar son: los límites de la ciencia, las cuestiones éticas y la confianza en los científicos y en su actividad. Considerar la ciencia además de como una evolución, como una constante construcción que lleva a cabo una influencia recíproca entre la ciencia coetánea, la tecnología, la comunidad y el medio ambiente. Además, el alumnado debe descubrir y analizar las necesidades existentes en nuestra actualidad, para conocer todas las posibilidades de acción que tiene la ciencia para solventar las mismas de manera sostenible y llevada a cabo mediante la implicación de la comunidad. Concretamente, en 4º de la ESO, es necesario que este análisis sea realizado y estudiado de manera global.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4965" w:type="dxa"/>
            <w:tcBorders/>
            <w:shd w:color="auto" w:fill="auto" w:val="clear"/>
          </w:tcPr>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6.1. 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p>
          <w:p>
            <w:pPr>
              <w:pStyle w:val="DC1"/>
              <w:spacing w:lineRule="auto" w:line="240" w:before="0" w:after="0"/>
              <w:contextualSpacing/>
              <w:rPr>
                <w:rFonts w:ascii="Cambria" w:hAnsi="Cambria" w:eastAsia="Calibri" w:cs="" w:cstheme="minorBidi" w:eastAsiaTheme="minorHAnsi"/>
                <w:color w:val="auto"/>
                <w:sz w:val="22"/>
                <w:szCs w:val="22"/>
                <w:lang w:eastAsia="en-US"/>
              </w:rPr>
            </w:pPr>
            <w:r>
              <w:rPr>
                <w:rFonts w:eastAsia="Calibri" w:cs="" w:cstheme="minorBidi" w:eastAsiaTheme="minorHAnsi"/>
                <w:color w:val="auto"/>
                <w:sz w:val="22"/>
                <w:szCs w:val="22"/>
                <w:lang w:eastAsia="en-US"/>
              </w:rPr>
              <w:t>6.2. Detectar las necesidades tecnológicas, ambientales, económicas y sociales más importantes que demanda la sociedad, entendiendo la capacidad de la ciencia para darles solución sostenible a través de la implicación de toda la ciudadanía.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mbria" w:hAnsi="Cambria" w:eastAsia="Cambria" w:cs="Cambria"/>
          <w:b/>
          <w:b/>
          <w:u w:val="single"/>
        </w:rPr>
      </w:pPr>
      <w:r>
        <w:rPr>
          <w:rFonts w:eastAsia="Cambria" w:cs="Cambria"/>
          <w:b/>
          <w:sz w:val="22"/>
          <w:szCs w:val="22"/>
          <w:u w:val="single"/>
        </w:rPr>
        <w:t>2. CONCRECIÓN, AGRUPAMIENTO Y SECUENCIACIÓN DE LOS SABERES BÁSICOS Y DE LOS CRITERIOS DE EVALUACIÓN EN UNIDADES DIDÁCTICAS</w:t>
      </w:r>
    </w:p>
    <w:tbl>
      <w:tblPr>
        <w:tblW w:w="8484" w:type="dxa"/>
        <w:jc w:val="left"/>
        <w:tblInd w:w="0" w:type="dxa"/>
        <w:tblCellMar>
          <w:top w:w="0" w:type="dxa"/>
          <w:left w:w="115" w:type="dxa"/>
          <w:bottom w:w="0" w:type="dxa"/>
          <w:right w:w="115" w:type="dxa"/>
        </w:tblCellMar>
        <w:tblLook w:firstRow="1" w:noVBand="1" w:lastRow="0" w:firstColumn="1" w:lastColumn="0" w:noHBand="0" w:val="04a0"/>
      </w:tblPr>
      <w:tblGrid>
        <w:gridCol w:w="3370"/>
        <w:gridCol w:w="1584"/>
        <w:gridCol w:w="3530"/>
      </w:tblGrid>
      <w:tr>
        <w:trPr/>
        <w:tc>
          <w:tcPr>
            <w:tcW w:w="8484" w:type="dxa"/>
            <w:gridSpan w:val="3"/>
            <w:tcBorders>
              <w:top w:val="single" w:sz="8" w:space="0" w:color="000000"/>
              <w:left w:val="single" w:sz="8" w:space="0" w:color="000000"/>
              <w:bottom w:val="single" w:sz="8" w:space="0" w:color="000000"/>
              <w:right w:val="single" w:sz="8" w:space="0" w:color="000000"/>
            </w:tcBorders>
            <w:shd w:color="auto" w:fill="4F81BD" w:themeFill="accent1"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FFFFFF"/>
                <w:sz w:val="22"/>
                <w:szCs w:val="22"/>
              </w:rPr>
              <w:t>CONCRECIÓN CURRICULAR DEL ÁREA EN EL CURSO 4º ESO</w:t>
            </w:r>
          </w:p>
        </w:tc>
      </w:tr>
      <w:tr>
        <w:trPr/>
        <w:tc>
          <w:tcPr>
            <w:tcW w:w="3370" w:type="dxa"/>
            <w:tcBorders>
              <w:top w:val="single" w:sz="8" w:space="0" w:color="000000"/>
              <w:left w:val="single" w:sz="8" w:space="0" w:color="000000"/>
              <w:bottom w:val="single" w:sz="8" w:space="0" w:color="000000"/>
              <w:right w:val="single" w:sz="8" w:space="0" w:color="000000"/>
            </w:tcBorders>
            <w:shd w:color="auto" w:fill="4F81BD" w:themeFill="accent1"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Competencias específicas</w:t>
            </w:r>
          </w:p>
        </w:tc>
        <w:tc>
          <w:tcPr>
            <w:tcW w:w="1584" w:type="dxa"/>
            <w:tcBorders>
              <w:top w:val="single" w:sz="8" w:space="0" w:color="000000"/>
              <w:left w:val="single" w:sz="8" w:space="0" w:color="000000"/>
              <w:bottom w:val="single" w:sz="8" w:space="0" w:color="000000"/>
              <w:right w:val="single" w:sz="8" w:space="0" w:color="000000"/>
            </w:tcBorders>
            <w:shd w:color="auto" w:fill="4F81BD" w:themeFill="accent1"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Descriptores del perfil de salida</w:t>
            </w:r>
          </w:p>
        </w:tc>
        <w:tc>
          <w:tcPr>
            <w:tcW w:w="3530" w:type="dxa"/>
            <w:tcBorders>
              <w:top w:val="single" w:sz="8" w:space="0" w:color="000000"/>
              <w:left w:val="single" w:sz="8" w:space="0" w:color="000000"/>
              <w:bottom w:val="single" w:sz="4" w:space="0" w:color="000000"/>
              <w:right w:val="single" w:sz="8" w:space="0" w:color="000000"/>
            </w:tcBorders>
            <w:shd w:color="auto" w:fill="4F81BD" w:themeFill="accent1"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Criterios de evaluación </w:t>
            </w:r>
          </w:p>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Cursos 4.º de Educación Secundaria Obligatoria</w:t>
            </w:r>
          </w:p>
        </w:tc>
      </w:tr>
      <w:tr>
        <w:trPr>
          <w:trHeight w:val="1251" w:hRule="atLeast"/>
        </w:trPr>
        <w:tc>
          <w:tcPr>
            <w:tcW w:w="337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CE.FQ.1.</w:t>
            </w:r>
            <w:r>
              <w:rPr>
                <w:rFonts w:eastAsia="Times New Roman" w:cs="Calibri" w:cstheme="minorHAnsi"/>
                <w:color w:val="auto"/>
                <w:sz w:val="22"/>
                <w:szCs w:val="22"/>
              </w:rPr>
              <w:t xml:space="preserve"> </w:t>
            </w:r>
            <w:r>
              <w:rPr>
                <w:rFonts w:eastAsia="Times New Roman" w:cs="Calibri" w:cstheme="minorHAnsi"/>
                <w:color w:val="000000"/>
                <w:sz w:val="22"/>
                <w:szCs w:val="22"/>
              </w:rPr>
              <w:t>Comprender y relacionar los motivos por los que ocurren los principales fenómenos fisicoquímicos del entorno, explicándolos en términos de las leyes y teorías científicas adecuadas, para resolver problemas con el fin de aplicarlas para mejorar la realidad cercana y la calidad de vida humana.</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CCL1, STEM1, STEM2, STEM4, CPSAA4. </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1.1. </w:t>
            </w:r>
            <w:r>
              <w:rPr>
                <w:rFonts w:eastAsia="Times New Roman" w:cs="Calibri" w:cstheme="minorHAnsi"/>
                <w:color w:val="000000"/>
                <w:sz w:val="22"/>
                <w:szCs w:val="22"/>
              </w:rPr>
              <w:t>Comprender y explicar con rigor los fenómenos fisicoquímicos cotidianos a partir de los principios, teorías y leyes científicas adecuadas, expresándolos de manera argumentada, utilizando diversidad de soportes y medios de comunicación.</w:t>
            </w:r>
            <w:r>
              <w:rPr>
                <w:rFonts w:eastAsia="Times New Roman" w:cs="Calibri" w:cstheme="minorHAnsi"/>
                <w:b/>
                <w:bCs/>
                <w:color w:val="000000"/>
                <w:sz w:val="22"/>
                <w:szCs w:val="22"/>
              </w:rPr>
              <w:t> </w:t>
            </w:r>
          </w:p>
        </w:tc>
      </w:tr>
      <w:tr>
        <w:trPr>
          <w:trHeight w:val="1343"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1.2. </w:t>
            </w:r>
            <w:r>
              <w:rPr>
                <w:rFonts w:eastAsia="Times New Roman" w:cs="Calibri" w:cstheme="minorHAnsi"/>
                <w:color w:val="000000"/>
                <w:sz w:val="22"/>
                <w:szCs w:val="22"/>
              </w:rPr>
              <w:t>Resolver problemas fisicoquímicos planteados mediante las leyes y teorías científicas adecuadas, razonando los procedimientos utilizados para encontrar las soluciones y expresando los resultados con corrección y precisión.</w:t>
            </w:r>
          </w:p>
        </w:tc>
      </w:tr>
      <w:tr>
        <w:trPr>
          <w:trHeight w:val="853"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1.3. </w:t>
            </w:r>
            <w:r>
              <w:rPr>
                <w:rFonts w:eastAsia="Times New Roman" w:cs="Calibri" w:cstheme="minorHAnsi"/>
                <w:color w:val="000000"/>
                <w:sz w:val="22"/>
                <w:szCs w:val="22"/>
              </w:rPr>
              <w:t>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r>
              <w:rPr>
                <w:rFonts w:eastAsia="Times New Roman" w:cs="Calibri" w:cstheme="minorHAnsi"/>
                <w:b/>
                <w:bCs/>
                <w:color w:val="8FB91E"/>
                <w:sz w:val="22"/>
                <w:szCs w:val="22"/>
              </w:rPr>
              <w:t> </w:t>
            </w:r>
          </w:p>
        </w:tc>
      </w:tr>
      <w:tr>
        <w:trPr>
          <w:trHeight w:val="262" w:hRule="atLeast"/>
        </w:trPr>
        <w:tc>
          <w:tcPr>
            <w:tcW w:w="3370" w:type="dxa"/>
            <w:vMerge w:val="restart"/>
            <w:tcBorders>
              <w:left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CE.FQ.2. </w:t>
            </w:r>
            <w:r>
              <w:rPr>
                <w:rFonts w:eastAsia="Times New Roman" w:cs="Calibri" w:cstheme="minorHAnsi"/>
                <w:color w:val="000000"/>
                <w:sz w:val="22"/>
                <w:szCs w:val="22"/>
              </w:rPr>
              <w:t>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1584" w:type="dxa"/>
            <w:vMerge w:val="restart"/>
            <w:tcBorders>
              <w:left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CCL1, CCL3, STEM1, STEM2, CD1, CPSAA4, CE1, CCEC3.</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2.1. </w:t>
            </w:r>
            <w:r>
              <w:rPr>
                <w:rFonts w:eastAsia="Times New Roman" w:cs="Calibri" w:cstheme="minorHAnsi"/>
                <w:color w:val="000000"/>
                <w:sz w:val="22"/>
                <w:szCs w:val="22"/>
              </w:rPr>
              <w:t>Emplear las metodologías propias de la ciencia en la identificación y descripción de fenómenos científicos a partir de situaciones tanto observadas en el mundo natural como planteadas a través de enunciados con información textual, gráfica o numérica. </w:t>
            </w:r>
          </w:p>
        </w:tc>
      </w:tr>
      <w:tr>
        <w:trPr>
          <w:trHeight w:val="261" w:hRule="atLeast"/>
        </w:trPr>
        <w:tc>
          <w:tcPr>
            <w:tcW w:w="3370"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2.2. </w:t>
            </w:r>
            <w:r>
              <w:rPr>
                <w:rFonts w:eastAsia="Times New Roman" w:cs="Calibri" w:cstheme="minorHAnsi"/>
                <w:color w:val="000000"/>
                <w:sz w:val="22"/>
                <w:szCs w:val="22"/>
              </w:rPr>
              <w:t>Predecir, para las cuestiones planteadas, respuestas que se puedan comprobar con las herramientas y conocimientos adquiridos, tanto de forma experimental como deductiva, aplicando el razonamiento lógico-matemático en su proceso de validación. </w:t>
            </w:r>
          </w:p>
        </w:tc>
      </w:tr>
      <w:tr>
        <w:trPr>
          <w:trHeight w:val="261" w:hRule="atLeast"/>
        </w:trPr>
        <w:tc>
          <w:tcPr>
            <w:tcW w:w="3370"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2.3. </w:t>
            </w:r>
            <w:r>
              <w:rPr>
                <w:rFonts w:eastAsia="Times New Roman" w:cs="Calibri" w:cstheme="minorHAnsi"/>
                <w:color w:val="000000"/>
                <w:sz w:val="22"/>
                <w:szCs w:val="22"/>
              </w:rPr>
              <w:t>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r>
              <w:rPr>
                <w:rFonts w:eastAsia="Times New Roman" w:cs="Calibri" w:cstheme="minorHAnsi"/>
                <w:b/>
                <w:bCs/>
                <w:color w:val="8FB91E"/>
                <w:sz w:val="22"/>
                <w:szCs w:val="22"/>
              </w:rPr>
              <w:t> </w:t>
            </w:r>
          </w:p>
        </w:tc>
      </w:tr>
      <w:tr>
        <w:trPr>
          <w:trHeight w:val="1401" w:hRule="atLeast"/>
        </w:trPr>
        <w:tc>
          <w:tcPr>
            <w:tcW w:w="337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CE.FQ.3. </w:t>
            </w:r>
            <w:r>
              <w:rPr>
                <w:rFonts w:eastAsia="Times New Roman" w:cs="Calibri" w:cstheme="minorHAnsi"/>
                <w:color w:val="000000"/>
                <w:sz w:val="22"/>
                <w:szCs w:val="22"/>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STEM4, STEM5, CD3, CPSAA2, CC1, CCEC2, CCEC4.</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3.1. </w:t>
            </w:r>
            <w:r>
              <w:rPr>
                <w:rFonts w:eastAsia="Times New Roman" w:cs="Calibri" w:cstheme="minorHAnsi"/>
                <w:color w:val="000000"/>
                <w:sz w:val="22"/>
                <w:szCs w:val="22"/>
              </w:rPr>
              <w:t>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 </w:t>
            </w:r>
          </w:p>
        </w:tc>
      </w:tr>
      <w:tr>
        <w:trPr>
          <w:trHeight w:val="1223"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3.2. </w:t>
            </w:r>
            <w:r>
              <w:rPr>
                <w:rFonts w:eastAsia="Times New Roman" w:cs="Calibri" w:cstheme="minorHAnsi"/>
                <w:color w:val="000000"/>
                <w:sz w:val="22"/>
                <w:szCs w:val="22"/>
              </w:rPr>
              <w:t>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tc>
      </w:tr>
      <w:tr>
        <w:trPr>
          <w:trHeight w:val="1315"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3.3. </w:t>
            </w:r>
            <w:r>
              <w:rPr>
                <w:rFonts w:eastAsia="Times New Roman" w:cs="Calibri" w:cstheme="minorHAnsi"/>
                <w:color w:val="000000"/>
                <w:sz w:val="22"/>
                <w:szCs w:val="22"/>
              </w:rPr>
              <w:t>Aplicar con rigor las normas de uso de los espacios específicos de la ciencia, como el laboratorio de Física y Química, asegurando la salud propia y colectiva, la conservación sostenible del medio ambiente y el cuidado por las instalaciones.</w:t>
            </w:r>
            <w:r>
              <w:rPr>
                <w:rFonts w:eastAsia="Times New Roman" w:cs="Calibri" w:cstheme="minorHAnsi"/>
                <w:b/>
                <w:bCs/>
                <w:color w:val="8FB91E"/>
                <w:sz w:val="22"/>
                <w:szCs w:val="22"/>
              </w:rPr>
              <w:t> </w:t>
            </w:r>
          </w:p>
        </w:tc>
      </w:tr>
      <w:tr>
        <w:trPr>
          <w:trHeight w:val="1420" w:hRule="atLeast"/>
        </w:trPr>
        <w:tc>
          <w:tcPr>
            <w:tcW w:w="337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CE.FQ.4</w:t>
            </w:r>
            <w:r>
              <w:rPr>
                <w:rFonts w:eastAsia="Times New Roman" w:cs="Calibri" w:cstheme="minorHAnsi"/>
                <w:b/>
                <w:bCs/>
                <w:color w:val="90B91D"/>
                <w:sz w:val="22"/>
                <w:szCs w:val="22"/>
              </w:rPr>
              <w:t xml:space="preserve">. </w:t>
            </w:r>
            <w:r>
              <w:rPr>
                <w:rFonts w:eastAsia="Times New Roman" w:cs="Calibri" w:cstheme="minorHAnsi"/>
                <w:color w:val="000000"/>
                <w:sz w:val="22"/>
                <w:szCs w:val="22"/>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 </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CCL2, CCL3, STEM4, CD1, CD2, CPSAA3, CE3, CCEC4.</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4.1. </w:t>
            </w:r>
            <w:r>
              <w:rPr>
                <w:rFonts w:eastAsia="Times New Roman" w:cs="Calibri" w:cstheme="minorHAnsi"/>
                <w:color w:val="000000"/>
                <w:sz w:val="22"/>
                <w:szCs w:val="22"/>
              </w:rPr>
              <w:t>Utilizar de forma eficiente recursos variados, tradicionales y digitales, mejorando el aprendizaje autónomo y la interacción con otros miembros de la comunidad educativa, de forma rigurosa y respetuosa y analizando críticamente las aportaciones de todos. </w:t>
            </w:r>
          </w:p>
        </w:tc>
      </w:tr>
      <w:tr>
        <w:trPr>
          <w:trHeight w:val="2279"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4.2. </w:t>
            </w:r>
            <w:r>
              <w:rPr>
                <w:rFonts w:eastAsia="Times New Roman" w:cs="Calibri" w:cstheme="minorHAnsi"/>
                <w:color w:val="000000"/>
                <w:sz w:val="22"/>
                <w:szCs w:val="22"/>
              </w:rPr>
              <w:t>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r>
              <w:rPr>
                <w:rFonts w:eastAsia="Times New Roman" w:cs="Calibri" w:cstheme="minorHAnsi"/>
                <w:b/>
                <w:bCs/>
                <w:color w:val="8FB91E"/>
                <w:sz w:val="22"/>
                <w:szCs w:val="22"/>
              </w:rPr>
              <w:t> </w:t>
            </w:r>
          </w:p>
        </w:tc>
      </w:tr>
      <w:tr>
        <w:trPr>
          <w:trHeight w:val="1136" w:hRule="atLeast"/>
        </w:trPr>
        <w:tc>
          <w:tcPr>
            <w:tcW w:w="337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CE.FQ.5. </w:t>
            </w:r>
            <w:r>
              <w:rPr>
                <w:rFonts w:eastAsia="Times New Roman" w:cs="Calibri" w:cstheme="minorHAnsi"/>
                <w:color w:val="000000"/>
                <w:sz w:val="22"/>
                <w:szCs w:val="22"/>
              </w:rPr>
              <w:t>Utilizar las estrategias propias del trabajo colaborativo, potenciando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medioambiente.</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CCL5, CP3, STEM3, STEM5, CD3, CPSAA3, CC3, CE2.</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5.1. </w:t>
            </w:r>
            <w:r>
              <w:rPr>
                <w:rFonts w:eastAsia="Times New Roman" w:cs="Calibri" w:cstheme="minorHAnsi"/>
                <w:color w:val="000000"/>
                <w:sz w:val="22"/>
                <w:szCs w:val="22"/>
              </w:rPr>
              <w:t>Establecer interacciones constructivas y coeducativas, emprendiendo actividades de cooperación e iniciando el uso de las estrategias propias del trabajo colaborativo, como forma de construir un medio de trabajo eficiente en la ciencia.</w:t>
            </w:r>
          </w:p>
        </w:tc>
      </w:tr>
      <w:tr>
        <w:trPr>
          <w:trHeight w:val="1662" w:hRule="atLeast"/>
        </w:trPr>
        <w:tc>
          <w:tcPr>
            <w:tcW w:w="3370"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5.2. </w:t>
            </w:r>
            <w:r>
              <w:rPr>
                <w:rFonts w:eastAsia="Times New Roman" w:cs="Calibri" w:cstheme="minorHAnsi"/>
                <w:color w:val="000000"/>
                <w:sz w:val="22"/>
                <w:szCs w:val="22"/>
              </w:rPr>
              <w:t>Emprender, de forma autónoma y de acuerdo a la metodología adecuada, proyectos científicos que involucren al alumnado en la mejora de la sociedad y que creen valor para el individuo y para la comunidad.</w:t>
            </w:r>
            <w:r>
              <w:rPr>
                <w:rFonts w:eastAsia="Times New Roman" w:cs="Calibri" w:cstheme="minorHAnsi"/>
                <w:b/>
                <w:bCs/>
                <w:color w:val="8FB91E"/>
                <w:sz w:val="22"/>
                <w:szCs w:val="22"/>
              </w:rPr>
              <w:t> </w:t>
            </w:r>
          </w:p>
        </w:tc>
      </w:tr>
      <w:tr>
        <w:trPr>
          <w:trHeight w:val="443" w:hRule="atLeast"/>
        </w:trPr>
        <w:tc>
          <w:tcPr>
            <w:tcW w:w="3370" w:type="dxa"/>
            <w:vMerge w:val="restart"/>
            <w:tcBorders>
              <w:top w:val="single" w:sz="4" w:space="0" w:color="000000"/>
              <w:left w:val="single" w:sz="8" w:space="0" w:color="000000"/>
              <w:bottom w:val="single" w:sz="4"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CE.FQ.6. </w:t>
            </w:r>
            <w:r>
              <w:rPr>
                <w:rFonts w:eastAsia="Times New Roman" w:cs="Calibri" w:cstheme="minorHAnsi"/>
                <w:color w:val="000000"/>
                <w:sz w:val="22"/>
                <w:szCs w:val="22"/>
              </w:rPr>
              <w:t>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p>
        </w:tc>
        <w:tc>
          <w:tcPr>
            <w:tcW w:w="1584" w:type="dxa"/>
            <w:tcBorders>
              <w:top w:val="single" w:sz="4" w:space="0" w:color="000000"/>
              <w:left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STEM2, STEM5, CD4, CPSAA1, CPSAA4, CC4, CCEC1.</w:t>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6.1. </w:t>
            </w:r>
            <w:r>
              <w:rPr>
                <w:rFonts w:eastAsia="Times New Roman" w:cs="Calibri" w:cstheme="minorHAnsi"/>
                <w:color w:val="000000"/>
                <w:sz w:val="22"/>
                <w:szCs w:val="22"/>
              </w:rPr>
              <w:t>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r>
              <w:rPr>
                <w:rFonts w:eastAsia="MS Gothic" w:cs="Tahoma"/>
                <w:color w:val="000000"/>
                <w:sz w:val="22"/>
                <w:szCs w:val="22"/>
              </w:rPr>
              <w:t> </w:t>
            </w:r>
          </w:p>
        </w:tc>
      </w:tr>
      <w:tr>
        <w:trPr>
          <w:trHeight w:val="414" w:hRule="atLeast"/>
        </w:trPr>
        <w:tc>
          <w:tcPr>
            <w:tcW w:w="3370" w:type="dxa"/>
            <w:vMerge w:val="continue"/>
            <w:tcBorders>
              <w:top w:val="single" w:sz="4" w:space="0" w:color="000000"/>
              <w:left w:val="single" w:sz="8" w:space="0" w:color="000000"/>
              <w:bottom w:val="single" w:sz="4"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tcBorders>
              <w:left w:val="single" w:sz="8" w:space="0" w:color="000000"/>
              <w:bottom w:val="single" w:sz="8" w:space="0" w:color="000000"/>
              <w:right w:val="single" w:sz="8" w:space="0" w:color="000000"/>
            </w:tcBorders>
            <w:shd w:fill="auto" w:val="clea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0"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b/>
                <w:bCs/>
                <w:color w:val="auto"/>
                <w:sz w:val="22"/>
                <w:szCs w:val="22"/>
              </w:rPr>
              <w:t xml:space="preserve">6.2. </w:t>
            </w:r>
            <w:r>
              <w:rPr>
                <w:rFonts w:eastAsia="Times New Roman" w:cs="Calibri" w:cstheme="minorHAnsi"/>
                <w:color w:val="000000"/>
                <w:sz w:val="22"/>
                <w:szCs w:val="22"/>
              </w:rPr>
              <w:t>Detectar las necesidades tecnológicas, ambientales, económicas y sociales más importantes que demanda la sociedad, entendiendo la capacidad de la ciencia para darles solución sostenible a través de la implicación de toda la ciudadanía.</w:t>
            </w:r>
            <w:r>
              <w:rPr>
                <w:rFonts w:eastAsia="Times New Roman" w:cs="Calibri" w:cstheme="minorHAnsi"/>
                <w:b/>
                <w:bCs/>
                <w:color w:val="8FB91E"/>
                <w:sz w:val="22"/>
                <w:szCs w:val="22"/>
              </w:rPr>
              <w:t> </w:t>
            </w:r>
          </w:p>
        </w:tc>
      </w:tr>
    </w:tbl>
    <w:p>
      <w:pPr>
        <w:pStyle w:val="Normal"/>
        <w:widowControl w:val="false"/>
        <w:spacing w:lineRule="auto" w:line="288" w:before="60" w:after="60"/>
        <w:ind w:left="560" w:hanging="280"/>
        <w:jc w:val="both"/>
        <w:rPr>
          <w:rFonts w:ascii="Calibri" w:hAnsi="Calibri"/>
          <w:b/>
          <w:b/>
          <w:sz w:val="22"/>
          <w:szCs w:val="22"/>
        </w:rPr>
      </w:pPr>
      <w:r>
        <w:rPr>
          <w:b/>
          <w:sz w:val="22"/>
          <w:szCs w:val="22"/>
        </w:rPr>
      </w:r>
    </w:p>
    <w:tbl>
      <w:tblPr>
        <w:tblW w:w="8484" w:type="dxa"/>
        <w:jc w:val="left"/>
        <w:tblInd w:w="0" w:type="dxa"/>
        <w:tblCellMar>
          <w:top w:w="0" w:type="dxa"/>
          <w:left w:w="115" w:type="dxa"/>
          <w:bottom w:w="0" w:type="dxa"/>
          <w:right w:w="115" w:type="dxa"/>
        </w:tblCellMar>
        <w:tblLook w:firstRow="1" w:noVBand="1" w:lastRow="0" w:firstColumn="1" w:lastColumn="0" w:noHBand="0" w:val="04a0"/>
      </w:tblPr>
      <w:tblGrid>
        <w:gridCol w:w="1912"/>
        <w:gridCol w:w="6571"/>
      </w:tblGrid>
      <w:tr>
        <w:trPr/>
        <w:tc>
          <w:tcPr>
            <w:tcW w:w="8483" w:type="dxa"/>
            <w:gridSpan w:val="2"/>
            <w:tcBorders>
              <w:top w:val="single" w:sz="8" w:space="0" w:color="000000"/>
              <w:left w:val="single" w:sz="8" w:space="0" w:color="000000"/>
              <w:bottom w:val="single" w:sz="8" w:space="0" w:color="000000"/>
              <w:right w:val="single" w:sz="8" w:space="0" w:color="000000"/>
            </w:tcBorders>
            <w:shd w:color="auto" w:fill="4F81BD" w:themeFill="accent1"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color w:val="FFFFFF" w:themeColor="background1"/>
                <w:sz w:val="22"/>
                <w:szCs w:val="22"/>
              </w:rPr>
              <w:t>SABERES BÁSICOS</w:t>
            </w:r>
          </w:p>
        </w:tc>
      </w:tr>
      <w:tr>
        <w:trPr/>
        <w:tc>
          <w:tcPr>
            <w:tcW w:w="8483" w:type="dxa"/>
            <w:gridSpan w:val="2"/>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 xml:space="preserve">NOTA SOBRE LA NOMENCLATURA DE LOS SABERES BÁSICOS. </w:t>
            </w:r>
            <w:r>
              <w:rPr>
                <w:rFonts w:eastAsia="Times New Roman" w:cs="Calibri" w:cstheme="minorHAnsi"/>
                <w:color w:val="auto"/>
                <w:sz w:val="22"/>
                <w:szCs w:val="22"/>
              </w:rPr>
              <w:t xml:space="preserve">En esta programación se han añadido números y letras (1.a, 2.c…) en los subepígrafes para identificar claramente los saberes básicos que se abordan en cada sección; aunque en la </w:t>
            </w:r>
            <w:r>
              <w:rPr>
                <w:rFonts w:eastAsia="Times New Roman" w:cs="Calibri" w:cstheme="minorHAnsi"/>
                <w:i/>
                <w:iCs/>
                <w:color w:val="auto"/>
                <w:sz w:val="22"/>
                <w:szCs w:val="22"/>
              </w:rPr>
              <w:t>Orden ECD/1172/2022, de 2 de agosto, por la que se aprueban el currículo y las características de la evaluación de la Educación Secundaria Obligatoria en la Comunidad Autónoma de Aragón</w:t>
            </w:r>
            <w:r>
              <w:rPr>
                <w:rFonts w:eastAsia="Times New Roman" w:cs="Calibri" w:cstheme="minorHAnsi"/>
                <w:color w:val="auto"/>
                <w:sz w:val="22"/>
                <w:szCs w:val="22"/>
              </w:rPr>
              <w:t>, estos subepígrafes no aparecen numerados.</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A. LAS DESTREZAS CIENTIFICAS BASICAS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a. Trabajo experimental y proyectos de investigación: estrategias en la resolución de problemas y el tratamiento del error mediante la indagación, la deducción, la búsqueda de evidencias y el razonamiento lógico-matemático, haciendo inferencias válidas de las observaciones y obteniendo conclusiones que vayan más allá de las condiciones experimentales para aplicarlas a nuevos escenarios.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b. Diversos entornos y recursos de aprendizaje científico como el laboratorio o los entornos virtuales: materiales, sustancias y herramientas tecnológicas.</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 Normas de uso de cada espacio, asegurando y protegiendo así la salud propia y comunitaria, la seguridad en redes y el respeto hacia el medio ambiente.</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d. El lenguaje científico: manejo adecuado de distintos sistemas de unidades y sus símbolos. Herramientas matemáticas adecuadas en diferentes escenarios científicos y de aprendizaje.</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e. Estrategias de interpretación y producción de información científica en diferentes formatos y a partir de diferentes medios: desarrollo del criterio propio basado en lo que el pensamiento científico aporta a la mejora de la sociedad para hacerla más justa, equitativa e igualitaria.</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f. Valoración de la cultura científica y del papel de científicos y científicas en los principales hitos históricos y actuales de la física y la química para el avance y la mejora de la sociedad. </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B. LA MATERIA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a. Sistemas materiales: resolución de problemas y situaciones de aprendizaje diversas sobre las disoluciones y los gases, entre otros sistemas materiales significativos.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b. Modelos atómicos: desarrollo histórico de los principales modelos atómicos clásicos y cuánticos y descripción de las partículas subatómicas, estableciendo su relación con los avances de la física y de la química.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 Estructura electrónica de los átomos: configuración electrónica de un átomo y su relación con la posición del mismo en la tabla periódica y con sus propiedades fisicoquímicas.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d. Compuestos químicos: su formación, propiedades físicas y químicas y valoración de su utilidad e importancia en otros campos como la ingeniería o el deporte.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e. Cuantificación de la cantidad de materia: cálculo de la cantidad de sustancia de sistemas materiales de diferente naturaleza, manejando con soltura las diferentes formas de medida y expresión de la misma en el entorno científico.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f. Nomenclatura inorgánica: denominación de sustancias simples, iones y compuestos químicos binarios y ternarios mediante las normas de la IUPAC.</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g. Introducción a la nomenclatura orgánica: denominación de compuestos orgánicos monofuncionales a partir de las normas de la IUPAC como base para entender la gran variedad de compuestos del entorno basados en el carbono.</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C. LA INTERACCIÓN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a. Predicción y comprobación, utilizando la experimentación y el razonamiento matemático, de las principales magnitudes, ecuaciones y gráficas que describen el movimiento de un cuerpo, relacionándolo con situaciones cotidianas y con la mejora de la calidad de vida.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b. La fuerza como agente de cambios en los cuerpos: principio fundamental de la Física que se aplica a otros campos como el diseño, el deporte o la ingeniería.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 Carácter vectorial de las fuerzas: uso del álgebra vectorial básica para la realización gráfica y numérica de operaciones con fuerzas y su aplicación a la resolución de problemas relacionados con sistemas sometidos a conjuntos de fuerzas, valorando su importancia en situaciones cotidianas.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d. Principales fuerzas del entorno cotidiano: reconocimiento del peso, la normal, el rozamiento, la tensión o el empuje, y su uso en la explicación de fenómenos físicos en distintos escenarios.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e. Ley de la gravitación universal: atracción entre los cuerpos que componen el universo. Concepto de peso.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f. Fuerzas y presión en los fluidos: efectos de las fuerzas y la presión sobre los líquidos y los gases, estudiando los principios fundamentales que las describen.</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D. LA ENERGÍA</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a. La energía: formulación y comprobación de hipótesis sobre las distintas formas y aplicaciones de la energía a partir de sus propiedades y del principio de conservación, como base para la experimentación y la resolución de problemas relacionados con la energía mecánica en situaciones cotidianas.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b. Transferencias de energía: el trabajo y el calor como formas de transferencia de energía entre sistemas relacionados con las fuerzas o la diferencia de temperatura. La luz y el sonido como ondas que transfieren energía.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 La energía en nuestro mundo: estimación de la energía consumida en la vida cotidiana mediante la búsqueda de información contrastada, la experimentación y el razonamiento científico, comprendiendo la importancia de la energía en la sociedad, su producción y su uso responsable. </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rFonts w:ascii="Calibri" w:hAnsi="Calibri" w:eastAsia="Times New Roman" w:cs="Calibri" w:asciiTheme="minorHAnsi" w:cstheme="minorHAnsi" w:hAnsiTheme="minorHAnsi"/>
                <w:color w:val="auto"/>
              </w:rPr>
            </w:pPr>
            <w:r>
              <w:rPr>
                <w:rFonts w:eastAsia="Times New Roman" w:cs="Calibri" w:cstheme="minorHAnsi"/>
                <w:b/>
                <w:bCs/>
                <w:smallCaps/>
                <w:color w:val="auto"/>
                <w:sz w:val="22"/>
                <w:szCs w:val="22"/>
              </w:rPr>
              <w:t>E. EL CAMBIO</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a. Reacciones químicas: ajustes de reacciones químicas y realización de predicciones cualitativas y cuantitativas basadas en la estequiometría, relacionándolas con procesos fisicoquímicos de la industria, el medio ambiente y la sociedad. </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b. Descripción cualitativa de reacciones químicas de interés: reacciones de combustión, neutralización y procesos electroquímicos sencillos, valorando las implicaciones que tienen en la tecnología, la sociedad o el medio ambiente.</w:t>
            </w:r>
          </w:p>
          <w:p>
            <w:pPr>
              <w:pStyle w:val="Normal"/>
              <w:spacing w:lineRule="auto" w:line="240" w:before="0" w:after="120"/>
              <w:rPr>
                <w:rFonts w:ascii="Calibri" w:hAnsi="Calibri" w:eastAsia="Times New Roman" w:cs="Calibri" w:asciiTheme="minorHAnsi" w:cstheme="minorHAnsi" w:hAnsiTheme="minorHAnsi"/>
                <w:color w:val="auto"/>
              </w:rPr>
            </w:pPr>
            <w:r>
              <w:rPr>
                <w:rFonts w:eastAsia="Times New Roman" w:cs="Calibri" w:cstheme="minorHAnsi"/>
                <w:color w:val="000000"/>
                <w:sz w:val="22"/>
                <w:szCs w:val="22"/>
              </w:rPr>
              <w:t>c. Factores que influyen en la velocidad de las reacciones químicas: comprensión de cómo ocurre la reordenación de los átomos, aplicando modelos como la teoría de colisiones y realización de predicciones en los procesos cotidianos más importantes. </w:t>
            </w:r>
          </w:p>
        </w:tc>
      </w:tr>
    </w:tbl>
    <w:p>
      <w:pPr>
        <w:pStyle w:val="Normal"/>
        <w:spacing w:lineRule="auto" w:line="240" w:before="0" w:after="0"/>
        <w:rPr>
          <w:rFonts w:ascii="Calibri" w:hAnsi="Calibri" w:eastAsia="Cambria" w:cs="Cambria"/>
          <w:b/>
          <w:b/>
          <w:sz w:val="22"/>
          <w:szCs w:val="22"/>
          <w:u w:val="single"/>
        </w:rPr>
      </w:pPr>
      <w:r>
        <w:rPr>
          <w:rFonts w:eastAsia="Cambria" w:cs="Cambria"/>
          <w:b/>
          <w:sz w:val="22"/>
          <w:szCs w:val="22"/>
          <w:u w:val="single"/>
        </w:rPr>
      </w:r>
    </w:p>
    <w:p>
      <w:pPr>
        <w:pStyle w:val="Normal"/>
        <w:jc w:val="both"/>
        <w:rPr>
          <w:rFonts w:eastAsia="Cambria"/>
          <w:b/>
          <w:b/>
          <w:u w:val="single"/>
        </w:rPr>
      </w:pPr>
      <w:r>
        <w:rPr>
          <w:rFonts w:eastAsia="Cambria"/>
          <w:b/>
          <w:sz w:val="22"/>
          <w:szCs w:val="22"/>
          <w:u w:val="single"/>
        </w:rPr>
        <w:t>3. PROCEDIMIENTOS E INSTRUMENTOS DE EVALUACIÓN</w:t>
      </w:r>
    </w:p>
    <w:p>
      <w:pPr>
        <w:pStyle w:val="Cuerpodetexto"/>
        <w:jc w:val="both"/>
        <w:rPr>
          <w:rFonts w:ascii="Calibri;sans-serif" w:hAnsi="Calibri;sans-serif" w:eastAsia="Cambria" w:cs="Cambria"/>
          <w:b w:val="false"/>
          <w:b w:val="false"/>
          <w:i w:val="false"/>
          <w:i w:val="false"/>
          <w:caps w:val="false"/>
          <w:smallCaps w:val="false"/>
          <w:strike w:val="false"/>
          <w:dstrike w:val="false"/>
          <w:color w:val="000000"/>
          <w:sz w:val="22"/>
          <w:szCs w:val="22"/>
          <w:u w:val="none"/>
          <w:effect w:val="none"/>
        </w:rPr>
      </w:pPr>
      <w:bookmarkStart w:id="1" w:name="docs-internal-guid-b994e1cd-7fff-3985-8a"/>
      <w:bookmarkEnd w:id="1"/>
      <w:r>
        <w:rPr>
          <w:rFonts w:eastAsia="Cambria" w:cs="Cambria"/>
          <w:b w:val="false"/>
          <w:bCs/>
          <w:i w:val="false"/>
          <w:caps w:val="false"/>
          <w:smallCaps w:val="false"/>
          <w:strike w:val="false"/>
          <w:dstrike w:val="false"/>
          <w:color w:val="000000"/>
          <w:sz w:val="22"/>
          <w:szCs w:val="22"/>
          <w:u w:val="none"/>
          <w:effect w:val="none"/>
        </w:rPr>
        <w:t>Tal y como establece la Orden ECD/1172/2022 en su Artículo 13: </w:t>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Del mismo modo, en el Artículo 14 de dicha Orden se establece que: </w:t>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La evaluación del alumnado será integradora, continua y formativa, y tendrá en cuenta el grado de desarrollo de las competencias clave y su progreso en el conjunto de los procesos de aprendizaje.</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Mientras que la evaluación también tiene carácter integrador, ya que las diferentes materias de los diferentes cursos de la ESO deben contribuir a lograr los objetivos establecidos para la etapa de la ESO y el desarrollo de las competencias clave.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p>
    <w:p>
      <w:pPr>
        <w:pStyle w:val="Cuerpodetexto"/>
        <w:rPr/>
      </w:pPr>
      <w:r>
        <w:rPr/>
      </w:r>
    </w:p>
    <w:p>
      <w:pPr>
        <w:pStyle w:val="Cuerpodetexto"/>
        <w:bidi w:val="0"/>
        <w:spacing w:lineRule="auto" w:line="288" w:before="0" w:after="0"/>
        <w:jc w:val="both"/>
        <w:rPr>
          <w:b w:val="false"/>
          <w:b w:val="false"/>
        </w:rPr>
      </w:pPr>
      <w:r>
        <w:rPr>
          <w:rFonts w:ascii="Calibri;sans-serif" w:hAnsi="Calibri;sans-serif"/>
          <w:b w:val="false"/>
          <w:i w:val="false"/>
          <w:caps w:val="false"/>
          <w:smallCaps w:val="false"/>
          <w:strike w:val="false"/>
          <w:dstrike w:val="false"/>
          <w:color w:val="000000"/>
          <w:sz w:val="22"/>
          <w:u w:val="none"/>
          <w:effect w:val="none"/>
        </w:rPr>
        <w:t>Para poder evaluar de forma global teniendo en cuenta las competencias clave es necesario recurrir a variados procedimientos de evaluación que se basan en diferentes instrumentos de evaluación. Tal y como establece la legislación</w:t>
      </w:r>
      <w:r>
        <w:rPr>
          <w:rFonts w:ascii="Calibri;sans-serif" w:hAnsi="Calibri;sans-serif"/>
          <w:b/>
          <w:i w:val="false"/>
          <w:caps w:val="false"/>
          <w:smallCaps w:val="false"/>
          <w:strike w:val="false"/>
          <w:dstrike w:val="false"/>
          <w:color w:val="000000"/>
          <w:sz w:val="22"/>
          <w:u w:val="none"/>
          <w:effect w:val="none"/>
        </w:rPr>
        <w:t xml:space="preserve">, </w:t>
      </w:r>
      <w:r>
        <w:rPr>
          <w:rFonts w:ascii="Calibri;sans-serif" w:hAnsi="Calibri;sans-serif"/>
          <w:b w:val="false"/>
          <w:i w:val="false"/>
          <w:caps w:val="false"/>
          <w:smallCaps w:val="false"/>
          <w:strike w:val="false"/>
          <w:dstrike w:val="false"/>
          <w:color w:val="000000"/>
          <w:sz w:val="22"/>
          <w:u w:val="none"/>
          <w:effect w:val="none"/>
        </w:rPr>
        <w:t>los referentes de la evaluación son los Criterios de Evaluación, por tanto, todos los elementos que intervienen en la evaluación estarán referidos a los Criterios de Evaluación.</w:t>
      </w:r>
    </w:p>
    <w:p>
      <w:pPr>
        <w:pStyle w:val="Cuerpodetexto"/>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la siguiente tabla se muestran los procedimiento de evaluación que se van a utilizar en el curso académico.</w:t>
      </w:r>
    </w:p>
    <w:p>
      <w:pPr>
        <w:pStyle w:val="Cuerpodetexto"/>
        <w:rPr/>
      </w:pPr>
      <w:r>
        <w:rPr/>
      </w:r>
    </w:p>
    <w:p>
      <w:pPr>
        <w:pStyle w:val="Cuerpodetexto"/>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Los instrumentos de evaluación serán:</w:t>
      </w:r>
    </w:p>
    <w:p>
      <w:pPr>
        <w:pStyle w:val="Cuerpodetexto"/>
        <w:rPr/>
      </w:pPr>
      <w:r>
        <w:rPr/>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Pruebas objetivas (exámenes) en las que se plantean actividades, problemas numéricos y preguntas teóricas.</w:t>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Control de los deberes y del trabajo realizado en el aula.  Realización de ejercicios. Cuaderno y seguimiento. </w:t>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Planteamiento y resolución de actividades en clase, de forma oral o por escrito, por parte de los alumnos.</w:t>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 y resolución de cuestiones planteadas en el mismo sobre las prácticas que se realicen.</w:t>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Valoración de la participación en clase</w:t>
      </w:r>
    </w:p>
    <w:p>
      <w:pPr>
        <w:pStyle w:val="Cuerpodetexto"/>
        <w:numPr>
          <w:ilvl w:val="0"/>
          <w:numId w:val="9"/>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Trabajos cooperativos en grupos heterogéneos.</w:t>
      </w:r>
    </w:p>
    <w:p>
      <w:pPr>
        <w:pStyle w:val="Normal"/>
        <w:jc w:val="both"/>
        <w:rPr>
          <w:bCs/>
        </w:rPr>
      </w:pPr>
      <w:r>
        <w:rPr>
          <w:bCs/>
        </w:rPr>
      </w:r>
    </w:p>
    <w:p>
      <w:pPr>
        <w:pStyle w:val="Normal"/>
        <w:jc w:val="both"/>
        <w:rPr>
          <w:rFonts w:ascii="Cambria" w:hAnsi="Cambria" w:eastAsia="Cambria" w:cs="Cambria"/>
          <w:b/>
          <w:b/>
          <w:u w:val="single"/>
        </w:rPr>
      </w:pPr>
      <w:r>
        <w:rPr>
          <w:rFonts w:eastAsia="Cambria" w:cs="Cambria"/>
          <w:b/>
          <w:sz w:val="22"/>
          <w:szCs w:val="22"/>
          <w:u w:val="single"/>
        </w:rPr>
        <w:t>4. CRITERIOS DE CALIFICACIÓN</w:t>
      </w:r>
    </w:p>
    <w:p>
      <w:pPr>
        <w:pStyle w:val="Cuerpodetexto"/>
        <w:jc w:val="both"/>
        <w:rPr>
          <w:rFonts w:ascii="Calibri;sans-serif" w:hAnsi="Calibri;sans-serif"/>
          <w:b w:val="false"/>
          <w:b w:val="false"/>
          <w:i w:val="false"/>
          <w:i w:val="false"/>
          <w:caps w:val="false"/>
          <w:smallCaps w:val="false"/>
          <w:strike w:val="false"/>
          <w:dstrike w:val="false"/>
          <w:color w:val="000000"/>
          <w:sz w:val="22"/>
          <w:u w:val="none"/>
          <w:effect w:val="none"/>
        </w:rPr>
      </w:pPr>
      <w:bookmarkStart w:id="2" w:name="docs-internal-guid-f0695688-7fff-03d8-5e"/>
      <w:bookmarkEnd w:id="2"/>
      <w:r>
        <w:rPr>
          <w:b w:val="false"/>
          <w:i w:val="false"/>
          <w:caps w:val="false"/>
          <w:smallCaps w:val="false"/>
          <w:strike w:val="false"/>
          <w:dstrike w:val="false"/>
          <w:color w:val="000000"/>
          <w:sz w:val="22"/>
          <w:szCs w:val="22"/>
          <w:u w:val="none"/>
          <w:effect w:val="none"/>
        </w:rPr>
        <w:t>Teniendo en cuenta los procedimientos e instrumentos de evaluación indicados anteriormente en esta programación, se indican a continuación los criterios de calificación que se van a utilizar para este curso para obtener la calificación final de cada evaluación:</w:t>
      </w:r>
    </w:p>
    <w:p>
      <w:pPr>
        <w:pStyle w:val="Cuerpodetexto"/>
        <w:numPr>
          <w:ilvl w:val="0"/>
          <w:numId w:val="10"/>
        </w:numPr>
        <w:tabs>
          <w:tab w:val="clear" w:pos="720"/>
          <w:tab w:val="left" w:pos="0" w:leader="none"/>
        </w:tabs>
        <w:bidi w:val="0"/>
        <w:spacing w:lineRule="auto" w:line="288" w:before="0" w:after="0"/>
        <w:ind w:left="837" w:right="0" w:hanging="283"/>
        <w:jc w:val="both"/>
        <w:rPr/>
      </w:pPr>
      <w:r>
        <w:rPr>
          <w:rFonts w:ascii="Calibri;sans-serif" w:hAnsi="Calibri;sans-serif"/>
          <w:b w:val="false"/>
          <w:i w:val="false"/>
          <w:caps w:val="false"/>
          <w:smallCaps w:val="false"/>
          <w:strike w:val="false"/>
          <w:dstrike w:val="false"/>
          <w:color w:val="000000"/>
          <w:sz w:val="22"/>
          <w:u w:val="none"/>
          <w:effect w:val="none"/>
        </w:rPr>
        <w:t xml:space="preserve">La media aritmética de la nota obtenida en los exámenes que se realicen a lo largo de la evaluación tendrá un peso del </w:t>
      </w:r>
      <w:r>
        <w:rPr>
          <w:rFonts w:ascii="Calibri;sans-serif" w:hAnsi="Calibri;sans-serif"/>
          <w:b w:val="false"/>
          <w:i w:val="false"/>
          <w:caps w:val="false"/>
          <w:smallCaps w:val="false"/>
          <w:strike w:val="false"/>
          <w:dstrike w:val="false"/>
          <w:color w:val="000000"/>
          <w:sz w:val="22"/>
          <w:u w:val="none"/>
          <w:effect w:val="none"/>
        </w:rPr>
        <w:t>80</w:t>
      </w:r>
      <w:r>
        <w:rPr>
          <w:rFonts w:ascii="Calibri;sans-serif" w:hAnsi="Calibri;sans-serif"/>
          <w:b w:val="false"/>
          <w:i w:val="false"/>
          <w:caps w:val="false"/>
          <w:smallCaps w:val="false"/>
          <w:strike w:val="false"/>
          <w:dstrike w:val="false"/>
          <w:color w:val="000000"/>
          <w:sz w:val="22"/>
          <w:u w:val="none"/>
          <w:effect w:val="none"/>
        </w:rPr>
        <w:t xml:space="preserve"> % de la nota final.</w:t>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Se intentará como mínimo dos exámenes por evaluación. El contenido de estos exámenes se basará en los saberes y procedimientos  y podrán incluir actividades realizadas en clase y en laboratorio.</w:t>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Para hallar la contribución de los exámenes a la nota final de una evaluación, se hará la media ponderada de los exámenes realizados</w:t>
      </w:r>
    </w:p>
    <w:p>
      <w:pPr>
        <w:pStyle w:val="Cuerpodetexto"/>
        <w:rPr/>
      </w:pPr>
      <w:r>
        <w:rPr/>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Si no se presenta a un examen sin causa justificada la nota será de 0 </w:t>
      </w:r>
    </w:p>
    <w:p>
      <w:pPr>
        <w:pStyle w:val="Cuerpodetexto"/>
        <w:bidi w:val="0"/>
        <w:spacing w:lineRule="auto" w:line="288" w:before="0" w:after="0"/>
        <w:ind w:left="850" w:right="0" w:hanging="0"/>
        <w:jc w:val="both"/>
        <w:rPr>
          <w:color w:val="auto"/>
        </w:rPr>
      </w:pPr>
      <w:r>
        <w:rPr>
          <w:rFonts w:ascii="Calibri;sans-serif" w:hAnsi="Calibri;sans-serif"/>
          <w:b w:val="false"/>
          <w:i w:val="false"/>
          <w:caps w:val="false"/>
          <w:smallCaps w:val="false"/>
          <w:strike w:val="false"/>
          <w:dstrike w:val="false"/>
          <w:color w:val="auto"/>
          <w:sz w:val="22"/>
          <w:u w:val="none"/>
          <w:effect w:val="none"/>
        </w:rPr>
        <w:t>Si a un alumno se le coge haciendo algo irregular durante un examen su calificación sera de 0 </w:t>
      </w:r>
    </w:p>
    <w:p>
      <w:pPr>
        <w:pStyle w:val="Cuerpodetexto"/>
        <w:rPr>
          <w:color w:val="auto"/>
        </w:rPr>
      </w:pPr>
      <w:r>
        <w:rPr>
          <w:color w:val="auto"/>
        </w:rPr>
      </w:r>
    </w:p>
    <w:p>
      <w:pPr>
        <w:pStyle w:val="Cuerpodetexto"/>
        <w:numPr>
          <w:ilvl w:val="0"/>
          <w:numId w:val="11"/>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El profesor supervisará los instrumentos 2, 3 ,4 ,5 y 6  , a partir de las tareas que se encarguen al alumno (incluyendo tanto los ejercicios propuestos en clase, como las tareas para casa o los informes de las prácticas de laboratorio).</w:t>
      </w:r>
    </w:p>
    <w:p>
      <w:pPr>
        <w:pStyle w:val="Cuerpodetexto"/>
        <w:bidi w:val="0"/>
        <w:spacing w:lineRule="auto" w:line="288" w:before="0" w:after="0"/>
        <w:ind w:left="72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otra parte, el cuaderno de clase será de entrega obligatoria en la fecha indicada por el profesor.  </w:t>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000000"/>
          <w:sz w:val="22"/>
          <w:u w:val="none"/>
          <w:effect w:val="none"/>
        </w:rPr>
        <w:t xml:space="preserve">La valoración de este apartado supondrá un </w:t>
      </w:r>
      <w:r>
        <w:rPr>
          <w:rFonts w:ascii="Calibri;sans-serif" w:hAnsi="Calibri;sans-serif"/>
          <w:b w:val="false"/>
          <w:i w:val="false"/>
          <w:caps w:val="false"/>
          <w:smallCaps w:val="false"/>
          <w:strike w:val="false"/>
          <w:dstrike w:val="false"/>
          <w:color w:val="000000"/>
          <w:sz w:val="22"/>
          <w:u w:val="none"/>
          <w:effect w:val="none"/>
        </w:rPr>
        <w:t>20</w:t>
      </w:r>
      <w:r>
        <w:rPr>
          <w:rFonts w:ascii="Calibri;sans-serif" w:hAnsi="Calibri;sans-serif"/>
          <w:b w:val="false"/>
          <w:i w:val="false"/>
          <w:caps w:val="false"/>
          <w:smallCaps w:val="false"/>
          <w:strike w:val="false"/>
          <w:dstrike w:val="false"/>
          <w:color w:val="000000"/>
          <w:sz w:val="22"/>
          <w:u w:val="none"/>
          <w:effect w:val="none"/>
        </w:rPr>
        <w:t xml:space="preserve"> % de la nota final. El porcentaje de cada una de las partes, variará en función del número de prácticas y/o trabajos que se hayan podido realizar.</w:t>
      </w:r>
    </w:p>
    <w:p>
      <w:pPr>
        <w:pStyle w:val="Cuerpodetexto"/>
        <w:rPr/>
      </w:pPr>
      <w:r>
        <w:rPr/>
      </w:r>
    </w:p>
    <w:p>
      <w:pPr>
        <w:pStyle w:val="Cuerpodetexto"/>
        <w:bidi w:val="0"/>
        <w:spacing w:lineRule="auto" w:line="288" w:before="0" w:after="0"/>
        <w:ind w:left="720" w:right="0" w:hanging="0"/>
        <w:jc w:val="both"/>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Los trabajos y practicas de laboratorio tendrán fecha de entrega, si se entregan después su nota será de 0 </w:t>
      </w:r>
    </w:p>
    <w:p>
      <w:pPr>
        <w:pStyle w:val="Cuerpodetexto"/>
        <w:rPr>
          <w:color w:val="auto"/>
        </w:rPr>
      </w:pPr>
      <w:r>
        <w:rPr>
          <w:color w:val="auto"/>
        </w:rPr>
      </w:r>
    </w:p>
    <w:p>
      <w:pPr>
        <w:pStyle w:val="Cuerpodetexto"/>
        <w:numPr>
          <w:ilvl w:val="0"/>
          <w:numId w:val="12"/>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Aquellos alumnos que no alcancen la calificación de 5 en una evaluación, tendrán la posibilidad de recuperarla por medio de una prueba escrita que se realizará una vez haya finalizado la evaluación.</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Además, aquellos alumnos con la evaluación aprobada, también podrán realizar dicha recuperación para mejorar su calificación en la evaluación.</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nota obtenida en esta recuperación sustituirá a la obtenida en la evaluación, a la hora de calcular la nota final.</w:t>
      </w:r>
    </w:p>
    <w:p>
      <w:pPr>
        <w:pStyle w:val="Cuerpodetexto"/>
        <w:rPr/>
      </w:pPr>
      <w:r>
        <w:rPr/>
      </w:r>
    </w:p>
    <w:p>
      <w:pPr>
        <w:pStyle w:val="Cuerpodetexto"/>
        <w:numPr>
          <w:ilvl w:val="0"/>
          <w:numId w:val="13"/>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Para obtener la nota final de la materia en la evaluación ordinaria, y dado que tenemos tres evaluaciones, tendremos que tener en cuenta las siguientes consideraciones:</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todas las evaluaciones tienen una nota superior o igual a 5, la nota final será el promedio de las tres notas de las evaluaciones.</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solo hay una evaluación con una nota inferior a 5 pero superior a 4, también se hará el promedio. Si éste es igual o superior a 5, el promedio será la nota final; en cambio, si es inferior a 5, el alumno tendrá que realizar el examen de recuperación final de junio.</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hay dos o tres evaluaciones con nota inferior a 5, tendrá que ir al examen de recuperación final de curso.</w:t>
      </w:r>
    </w:p>
    <w:p>
      <w:pPr>
        <w:pStyle w:val="Cuerpodetexto"/>
        <w:rPr/>
      </w:pPr>
      <w:r>
        <w:rPr/>
      </w:r>
    </w:p>
    <w:p>
      <w:pPr>
        <w:pStyle w:val="Cuerpodetexto"/>
        <w:numPr>
          <w:ilvl w:val="0"/>
          <w:numId w:val="14"/>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p>
    <w:p>
      <w:pPr>
        <w:pStyle w:val="Cuerpodetexto"/>
        <w:rPr/>
      </w:pPr>
      <w:r>
        <w:rPr/>
      </w:r>
    </w:p>
    <w:p>
      <w:pPr>
        <w:pStyle w:val="Cuerpodetexto"/>
        <w:numPr>
          <w:ilvl w:val="0"/>
          <w:numId w:val="15"/>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nota de la materia en la evaluación final ordinaria se obtendrá realizando la media de las obtenidas en las tres evaluaciones (o la que haya obtenido tras realizar las recuperaciones).</w:t>
      </w:r>
    </w:p>
    <w:p>
      <w:pPr>
        <w:pStyle w:val="Cuerpodetexto"/>
        <w:rPr/>
      </w:pPr>
      <w:r>
        <w:rPr/>
      </w:r>
    </w:p>
    <w:p>
      <w:pPr>
        <w:pStyle w:val="Cuerpodetexto"/>
        <w:bidi w:val="0"/>
        <w:spacing w:lineRule="auto" w:line="288" w:before="0" w:after="0"/>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80% se reparta entre las competencias específicas 1, 2 y 3.1 y 3.2 como se indica en este cuadro</w:t>
      </w:r>
    </w:p>
    <w:p>
      <w:pPr>
        <w:pStyle w:val="Cuerpodetexto"/>
        <w:rPr/>
      </w:pPr>
      <w:r>
        <w:rPr/>
      </w:r>
    </w:p>
    <w:p>
      <w:pPr>
        <w:pStyle w:val="Cuerpodetexto"/>
        <w:bidi w:val="0"/>
        <w:spacing w:lineRule="auto" w:line="288" w:before="0" w:after="0"/>
        <w:rPr>
          <w:caps w:val="false"/>
          <w:smallCaps w:val="false"/>
          <w:strike w:val="false"/>
          <w:dstrike w:val="false"/>
          <w:color w:val="EE0000"/>
          <w:u w:val="none"/>
          <w:effect w:val="none"/>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20%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Cuerpodetexto"/>
        <w:spacing w:before="0" w:after="0"/>
        <w:rPr/>
      </w:pPr>
      <w:r>
        <w:rPr/>
      </w:r>
    </w:p>
    <w:tbl>
      <w:tblPr>
        <w:tblW w:w="8504" w:type="dxa"/>
        <w:jc w:val="left"/>
        <w:tblInd w:w="0" w:type="dxa"/>
        <w:tblCellMar>
          <w:top w:w="100" w:type="dxa"/>
          <w:left w:w="100" w:type="dxa"/>
          <w:bottom w:w="100" w:type="dxa"/>
          <w:right w:w="100" w:type="dxa"/>
        </w:tblCellMar>
      </w:tblPr>
      <w:tblGrid>
        <w:gridCol w:w="1972"/>
        <w:gridCol w:w="742"/>
        <w:gridCol w:w="2480"/>
        <w:gridCol w:w="3309"/>
      </w:tblGrid>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 1.</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1.3 </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FQ.2</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28%</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2.3.</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FQ.3.</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23%</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3.1. y3.2.  17% </w:t>
            </w:r>
          </w:p>
          <w:p>
            <w:pPr>
              <w:pStyle w:val="Contenidodelatabla"/>
              <w:bidi w:val="0"/>
              <w:spacing w:lineRule="auto" w:line="288" w:before="0" w:after="0"/>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3.3                6%</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caps w:val="false"/>
                <w:smallCaps w:val="false"/>
                <w:strike w:val="false"/>
                <w:dstrike w:val="false"/>
                <w:color w:val="000000"/>
                <w:u w:val="none"/>
                <w:effect w:val="none"/>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FQ.4.</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4.2 </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 5</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5.2</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FQ.6.</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4%</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6.2</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rFonts w:ascii="Calibri" w:hAnsi="Calibri"/>
          <w:sz w:val="22"/>
          <w:szCs w:val="22"/>
        </w:rPr>
      </w:pPr>
      <w:r>
        <w:rPr>
          <w:b w:val="false"/>
        </w:rPr>
        <w:br/>
      </w:r>
    </w:p>
    <w:p>
      <w:pPr>
        <w:pStyle w:val="Normal"/>
        <w:jc w:val="both"/>
        <w:rPr>
          <w:rFonts w:eastAsia="Cambria"/>
          <w:b/>
          <w:b/>
          <w:u w:val="single"/>
        </w:rPr>
      </w:pPr>
      <w:r>
        <w:rPr>
          <w:rFonts w:eastAsia="Cambria"/>
          <w:b/>
          <w:sz w:val="22"/>
          <w:szCs w:val="22"/>
          <w:u w:val="single"/>
        </w:rPr>
        <w:t>5. EVALUACIÓN INICIAL</w:t>
      </w:r>
    </w:p>
    <w:p>
      <w:pPr>
        <w:pStyle w:val="Normal"/>
        <w:tabs>
          <w:tab w:val="clear" w:pos="720"/>
          <w:tab w:val="left" w:pos="284" w:leader="none"/>
        </w:tabs>
        <w:ind w:firstLine="284"/>
        <w:jc w:val="both"/>
        <w:rPr>
          <w:rFonts w:ascii="Cambria" w:hAnsi="Cambria"/>
          <w:sz w:val="22"/>
          <w:szCs w:val="22"/>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rFonts w:ascii="Cambria" w:hAnsi="Cambria"/>
          <w:sz w:val="22"/>
          <w:szCs w:val="22"/>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rFonts w:ascii="Cambria" w:hAnsi="Cambria"/>
          <w:sz w:val="22"/>
          <w:szCs w:val="22"/>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rFonts w:ascii="Cambria" w:hAnsi="Cambria"/>
          <w:sz w:val="22"/>
          <w:szCs w:val="22"/>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rFonts w:ascii="Cambria" w:hAnsi="Cambria"/>
          <w:sz w:val="22"/>
          <w:szCs w:val="22"/>
        </w:rPr>
      </w:pPr>
      <w:r>
        <w:rPr>
          <w:sz w:val="22"/>
          <w:szCs w:val="22"/>
        </w:rPr>
        <w:t>metodologías a emplear.</w:t>
      </w:r>
    </w:p>
    <w:p>
      <w:pPr>
        <w:pStyle w:val="Normal"/>
        <w:tabs>
          <w:tab w:val="clear" w:pos="720"/>
          <w:tab w:val="left" w:pos="284" w:leader="none"/>
        </w:tabs>
        <w:ind w:firstLine="284"/>
        <w:jc w:val="both"/>
        <w:rPr>
          <w:rFonts w:ascii="Cambria" w:hAnsi="Cambria"/>
          <w:sz w:val="22"/>
          <w:szCs w:val="22"/>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rFonts w:ascii="Calibri" w:hAnsi="Calibri" w:cs="Calibri" w:asciiTheme="minorHAnsi" w:cstheme="minorHAnsi" w:hAnsiTheme="minorHAnsi"/>
        </w:rPr>
      </w:pPr>
      <w:r>
        <w:rPr>
          <w:rFonts w:cs="Calibri" w:cstheme="minorHAnsi"/>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rFonts w:ascii="Cambria" w:hAnsi="Cambria" w:asciiTheme="majorHAnsi" w:hAnsiTheme="majorHAnsi"/>
        </w:rPr>
      </w:pPr>
      <w:r>
        <w:rPr>
          <w:rFonts w:cs="Calibri" w:cstheme="minorHAnsi"/>
          <w:sz w:val="22"/>
          <w:szCs w:val="22"/>
        </w:rPr>
        <w:t xml:space="preserve">En segundo lugar, interesa conocer el grado de dominio de cada alumno/a de los contenidos relacionados con la materia de cursos anteriores. En este sentido, el instrumento principal para la recogida de información de cara a la evaluación inicial será una prueba escrita que haga referencia principalmente a los contenidos de 3º de ESO (Física y Química), aunque también aparecen algunos de las materias de Matemáticas de 2º y 3º de ESO. </w:t>
      </w:r>
    </w:p>
    <w:p>
      <w:pPr>
        <w:pStyle w:val="Normal"/>
        <w:tabs>
          <w:tab w:val="clear" w:pos="720"/>
          <w:tab w:val="left" w:pos="284" w:leader="none"/>
        </w:tabs>
        <w:ind w:firstLine="284"/>
        <w:jc w:val="both"/>
        <w:rPr>
          <w:rFonts w:ascii="Cambria" w:hAnsi="Cambria"/>
          <w:sz w:val="22"/>
          <w:szCs w:val="22"/>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rFonts w:ascii="Cambria" w:hAnsi="Cambria"/>
          <w:sz w:val="22"/>
          <w:szCs w:val="22"/>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rFonts w:ascii="Cambria" w:hAnsi="Cambria"/>
          <w:sz w:val="22"/>
          <w:szCs w:val="22"/>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rFonts w:ascii="Cambria" w:hAnsi="Cambria"/>
          <w:sz w:val="22"/>
          <w:szCs w:val="22"/>
        </w:rPr>
      </w:pPr>
      <w:r>
        <w:rPr>
          <w:sz w:val="22"/>
          <w:szCs w:val="22"/>
        </w:rPr>
        <w:t>- Se establecerá el punto de partida del proceso de enseñanza-aprendizaje.</w:t>
      </w:r>
    </w:p>
    <w:p>
      <w:pPr>
        <w:pStyle w:val="Normal"/>
        <w:tabs>
          <w:tab w:val="clear" w:pos="720"/>
          <w:tab w:val="left" w:pos="284" w:leader="none"/>
        </w:tabs>
        <w:ind w:firstLine="567"/>
        <w:jc w:val="both"/>
        <w:rPr>
          <w:rFonts w:ascii="Cambria" w:hAnsi="Cambria"/>
          <w:sz w:val="22"/>
          <w:szCs w:val="22"/>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rFonts w:ascii="Cambria" w:hAnsi="Cambria"/>
          <w:sz w:val="22"/>
          <w:szCs w:val="22"/>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rFonts w:ascii="Cambria" w:hAnsi="Cambria"/>
          <w:sz w:val="22"/>
          <w:szCs w:val="22"/>
        </w:rPr>
      </w:pPr>
      <w:r>
        <w:rPr>
          <w:sz w:val="22"/>
          <w:szCs w:val="22"/>
        </w:rPr>
        <w:t xml:space="preserve">- Se diseñará la metodología adecuada a la realidad y a los focos de interés de los alumnos/as del grupo. </w:t>
      </w:r>
    </w:p>
    <w:p>
      <w:pPr>
        <w:pStyle w:val="Normal"/>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 xml:space="preserve">6. ACTUACIONES GENERALES DE ATENCIÓN A LAS DIFERENCIAS INDIVIDUALES Y ADAPTACIONES CURRICULARES </w:t>
      </w:r>
    </w:p>
    <w:p>
      <w:pPr>
        <w:pStyle w:val="Normal"/>
        <w:jc w:val="both"/>
        <w:rPr>
          <w:rFonts w:ascii="Calibri" w:hAnsi="Calibri" w:cs="Calibri" w:asciiTheme="minorHAnsi" w:cstheme="minorHAnsi" w:hAnsiTheme="minorHAnsi"/>
          <w:bCs/>
        </w:rPr>
      </w:pPr>
      <w:r>
        <w:rPr>
          <w:rFonts w:eastAsia="Cambria" w:cs="Calibri" w:cstheme="minorHAnsi"/>
          <w:sz w:val="22"/>
          <w:szCs w:val="22"/>
        </w:rPr>
        <w:t xml:space="preserve">La </w:t>
      </w:r>
      <w:r>
        <w:rPr>
          <w:rFonts w:cs="Calibri" w:cstheme="minorHAnsi"/>
          <w:bCs/>
          <w:sz w:val="22"/>
          <w:szCs w:val="22"/>
        </w:rPr>
        <w:t xml:space="preserve">Orden ECD/1172/2022 establece en su Artículo 36 que: </w:t>
      </w:r>
    </w:p>
    <w:p>
      <w:pPr>
        <w:pStyle w:val="Normal"/>
        <w:jc w:val="both"/>
        <w:rPr>
          <w:rFonts w:ascii="Calibri" w:hAnsi="Calibri" w:eastAsia="Cambria" w:cs="Calibri" w:asciiTheme="minorHAnsi" w:cstheme="minorHAnsi" w:hAnsiTheme="minorHAnsi"/>
          <w:i/>
          <w:i/>
        </w:rPr>
      </w:pPr>
      <w:r>
        <w:rPr>
          <w:rFonts w:cs="Calibri" w:cstheme="minorHAnsi"/>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pPr>
      <w:r>
        <w:rPr>
          <w:rFonts w:cs="Calibri" w:cstheme="minorHAnsi"/>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4º de ESO se llevarán a cabo las siguientes estrategias para atender a la diversidad del alumnado: </w:t>
      </w:r>
    </w:p>
    <w:p>
      <w:pPr>
        <w:pStyle w:val="Normal"/>
        <w:numPr>
          <w:ilvl w:val="0"/>
          <w:numId w:val="3"/>
        </w:numPr>
        <w:jc w:val="both"/>
        <w:rPr>
          <w:rFonts w:ascii="Calibri" w:hAnsi="Calibri" w:cs="Calibri" w:asciiTheme="minorHAnsi" w:cstheme="minorHAnsi" w:hAnsiTheme="minorHAnsi"/>
        </w:rPr>
      </w:pPr>
      <w:r>
        <w:rPr>
          <w:rFonts w:cs="Calibri" w:cstheme="minorHAnsi"/>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rFonts w:ascii="Calibri" w:hAnsi="Calibri" w:cs="Calibri" w:asciiTheme="minorHAnsi" w:cstheme="minorHAnsi" w:hAnsiTheme="minorHAnsi"/>
        </w:rPr>
      </w:pPr>
      <w:r>
        <w:rPr>
          <w:rFonts w:cs="Calibri" w:cstheme="minorHAnsi"/>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rFonts w:ascii="Cambria" w:hAnsi="Cambria" w:asciiTheme="majorHAnsi" w:hAnsiTheme="majorHAnsi"/>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rFonts w:ascii="Cambria" w:hAnsi="Cambria" w:asciiTheme="majorHAnsi" w:hAnsiTheme="majorHAnsi"/>
          <w:i/>
          <w:i/>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rFonts w:ascii="Cambria" w:hAnsi="Cambria"/>
          <w:sz w:val="22"/>
          <w:szCs w:val="22"/>
        </w:rPr>
      </w:pPr>
      <w:r>
        <w:rPr>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jc w:val="both"/>
        <w:rPr>
          <w:rFonts w:ascii="Calibri" w:hAnsi="Calibri"/>
          <w:sz w:val="22"/>
          <w:szCs w:val="22"/>
        </w:rPr>
      </w:pPr>
      <w:r>
        <w:rPr>
          <w:sz w:val="22"/>
          <w:szCs w:val="22"/>
        </w:rPr>
      </w:r>
    </w:p>
    <w:p>
      <w:pPr>
        <w:pStyle w:val="Normal"/>
        <w:jc w:val="both"/>
        <w:rPr>
          <w:rFonts w:eastAsia="Cambria"/>
          <w:b/>
          <w:b/>
          <w:u w:val="single"/>
        </w:rPr>
      </w:pPr>
      <w:r>
        <w:rPr>
          <w:rFonts w:eastAsia="Cambria"/>
          <w:b/>
          <w:sz w:val="22"/>
          <w:szCs w:val="22"/>
          <w:u w:val="single"/>
        </w:rPr>
        <w:t>7. PLAN DE SEGUIMIENTO PARA EL ALUMNADO QUE NO HA PROMOCIONADO</w:t>
      </w:r>
    </w:p>
    <w:p>
      <w:pPr>
        <w:pStyle w:val="Normal"/>
        <w:tabs>
          <w:tab w:val="clear" w:pos="720"/>
          <w:tab w:val="left" w:pos="284" w:leader="none"/>
        </w:tabs>
        <w:ind w:firstLine="284"/>
        <w:jc w:val="both"/>
        <w:rPr>
          <w:color w:val="000000"/>
        </w:rPr>
      </w:pPr>
      <w:r>
        <w:rPr>
          <w:color w:val="000000"/>
          <w:sz w:val="22"/>
          <w:szCs w:val="22"/>
        </w:rPr>
        <w:t>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analizarán los criterios de evaluación no superados para tener una primera aproximación a las dificultades mostradas por el alumno. Con estos datos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w:t>
      </w:r>
    </w:p>
    <w:p>
      <w:pPr>
        <w:pStyle w:val="Normal"/>
        <w:jc w:val="both"/>
        <w:rPr>
          <w:rFonts w:ascii="Calibri" w:hAnsi="Calibri" w:eastAsia="Cambria" w:cs="Cambria"/>
          <w:sz w:val="22"/>
          <w:szCs w:val="22"/>
        </w:rPr>
      </w:pPr>
      <w:r>
        <w:rPr>
          <w:rFonts w:eastAsia="Cambria" w:cs="Cambria"/>
          <w:sz w:val="22"/>
          <w:szCs w:val="22"/>
        </w:rPr>
      </w:r>
    </w:p>
    <w:p>
      <w:pPr>
        <w:pStyle w:val="Normal"/>
        <w:keepNext w:val="true"/>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8. PLAN DE REFUERZO PARA MATERIAS O ÁMBITOS NO SUPERADOS</w:t>
      </w:r>
    </w:p>
    <w:p>
      <w:pPr>
        <w:pStyle w:val="Normal"/>
        <w:ind w:firstLine="284"/>
        <w:jc w:val="both"/>
        <w:rPr>
          <w:rFonts w:ascii="Calibri" w:hAnsi="Calibri" w:eastAsia="Cambria" w:cs="Calibri" w:asciiTheme="minorHAnsi" w:cstheme="minorHAnsi" w:hAnsiTheme="minorHAnsi"/>
        </w:rPr>
      </w:pPr>
      <w:r>
        <w:rPr>
          <w:rFonts w:eastAsia="Cambria" w:cs="Calibri" w:cstheme="minorHAnsi"/>
          <w:sz w:val="22"/>
          <w:szCs w:val="22"/>
        </w:rPr>
        <w:t>Según lo establecido en el Artículo 20 de la Orden quienes promocionen sin haber superado todas las materias o ámbitos deberán matricularse de las materias o ámbitos no superados y seguirán los planes de refuerzo personalizados que establezcan los departamentos. Los planes de refuerzo personalizados se organizarán para cada alumno o cada alumna teniendo en cuenta las dificultades de aprendizaje que motivaron la no superación de la materia o ámbito. También se afirma en la legislación que p</w:t>
      </w:r>
      <w:r>
        <w:rPr>
          <w:rFonts w:cs="Calibri" w:cstheme="minorHAnsi"/>
          <w:sz w:val="22"/>
          <w:szCs w:val="22"/>
        </w:rPr>
        <w:t>ara la evaluación de las materias o ámbitos no superados se tendrán en cuenta los progresos que el alumnado realice en las actividades del plan de refuerzo personalizado, así como su evolución en las materias o ámbitos correspondientes en el curso siguiente. Además, l</w:t>
      </w:r>
      <w:r>
        <w:rPr>
          <w:rFonts w:eastAsia="Cambria" w:cs="Calibri" w:cstheme="minorHAnsi"/>
          <w:sz w:val="22"/>
          <w:szCs w:val="22"/>
        </w:rPr>
        <w:t>as familias deberán ser informadas de dicho plan a principio de curso y al menos una vez al trimestre se les informará de los resultados de esta evaluación a través del boletín de notas.</w:t>
      </w:r>
    </w:p>
    <w:p>
      <w:pPr>
        <w:pStyle w:val="Normal"/>
        <w:tabs>
          <w:tab w:val="clear" w:pos="720"/>
          <w:tab w:val="left" w:pos="284" w:leader="none"/>
        </w:tabs>
        <w:ind w:firstLine="284"/>
        <w:jc w:val="both"/>
        <w:rPr>
          <w:rFonts w:ascii="Calibri" w:hAnsi="Calibri" w:cs="Calibri" w:asciiTheme="minorHAnsi" w:cstheme="minorHAnsi" w:hAnsiTheme="minorHAnsi"/>
        </w:rPr>
      </w:pPr>
      <w:r>
        <w:rPr>
          <w:rFonts w:eastAsia="Cambria" w:cs="Calibri" w:cstheme="minorHAnsi"/>
          <w:sz w:val="22"/>
          <w:szCs w:val="22"/>
        </w:rPr>
        <w:t>Por tanto,  a</w:t>
      </w:r>
      <w:r>
        <w:rPr>
          <w:rFonts w:cs="Calibri" w:cstheme="minorHAnsi"/>
          <w:sz w:val="22"/>
          <w:szCs w:val="22"/>
        </w:rPr>
        <w:t xml:space="preserve">quellos alumnos/as que no hayan superado la materia de Física y Química de 3º de ESO y que ahora estén matriculados en 4º, deberán seguir un programa de refuerzo (PRP) establecido por el departamento para recuperar los aprendizajes no adquiridos y superar las evaluaciones correspondientes a  dicho programa. Este programa contará con las siguientes características: </w:t>
      </w:r>
    </w:p>
    <w:p>
      <w:pPr>
        <w:pStyle w:val="Normal"/>
        <w:numPr>
          <w:ilvl w:val="0"/>
          <w:numId w:val="4"/>
        </w:numPr>
        <w:tabs>
          <w:tab w:val="clear" w:pos="720"/>
          <w:tab w:val="left" w:pos="284" w:leader="none"/>
        </w:tabs>
        <w:jc w:val="both"/>
        <w:rPr>
          <w:rFonts w:ascii="Calibri" w:hAnsi="Calibri"/>
          <w:sz w:val="22"/>
          <w:szCs w:val="22"/>
        </w:rPr>
      </w:pPr>
      <w:r>
        <w:rPr>
          <w:rFonts w:cs="Calibri" w:cstheme="minorHAnsi"/>
          <w:color w:val="000000"/>
          <w:sz w:val="22"/>
          <w:szCs w:val="22"/>
        </w:rPr>
        <w:t xml:space="preserve">A principio de curso se informará a cada alumno/a en esta situación de la/s fecha/s de las pruebas y se le facilitará un dossier de actividades relacionadas con los criterios de evaluación que deberá realizar para poder recuperar los criterios de evaluación. Cada familia firmará el PRP una vez que haya recibido esta documentación, quedando registrado en el departamento. </w:t>
      </w:r>
    </w:p>
    <w:p>
      <w:pPr>
        <w:pStyle w:val="Normal"/>
        <w:numPr>
          <w:ilvl w:val="0"/>
          <w:numId w:val="4"/>
        </w:numPr>
        <w:tabs>
          <w:tab w:val="clear" w:pos="720"/>
          <w:tab w:val="left" w:pos="284" w:leader="none"/>
        </w:tabs>
        <w:jc w:val="both"/>
        <w:rPr>
          <w:rFonts w:ascii="Calibri" w:hAnsi="Calibri"/>
          <w:sz w:val="22"/>
          <w:szCs w:val="22"/>
        </w:rPr>
      </w:pPr>
      <w:r>
        <w:rPr>
          <w:rFonts w:cs="Calibri" w:cstheme="minorHAnsi"/>
          <w:color w:val="000000"/>
          <w:sz w:val="22"/>
          <w:szCs w:val="22"/>
        </w:rPr>
        <w:t xml:space="preserve">Se creara un Classroom para poder poner dudas y material si fuera necesario. </w:t>
      </w:r>
    </w:p>
    <w:p>
      <w:pPr>
        <w:pStyle w:val="Normal"/>
        <w:numPr>
          <w:ilvl w:val="0"/>
          <w:numId w:val="4"/>
        </w:numPr>
        <w:tabs>
          <w:tab w:val="clear" w:pos="720"/>
          <w:tab w:val="left" w:pos="284" w:leader="none"/>
        </w:tabs>
        <w:jc w:val="both"/>
        <w:rPr>
          <w:rFonts w:ascii="Calibri" w:hAnsi="Calibri" w:cs="Calibri" w:asciiTheme="minorHAnsi" w:cstheme="minorHAnsi" w:hAnsiTheme="minorHAnsi"/>
          <w:color w:val="000000"/>
        </w:rPr>
      </w:pPr>
      <w:r>
        <w:rPr>
          <w:rFonts w:cs="Calibri" w:cstheme="minorHAnsi"/>
          <w:color w:val="000000"/>
          <w:sz w:val="22"/>
          <w:szCs w:val="22"/>
        </w:rPr>
        <w:t xml:space="preserve">El jefe de departamento informará al principio del curso a las familias de los alumnos/as que se encuentren en esta situación del funcionamiento del programa de refuerzo y de la fecha orientativa de la/s prueba/s escrita/s. </w:t>
      </w:r>
    </w:p>
    <w:p>
      <w:pPr>
        <w:pStyle w:val="Normal"/>
        <w:numPr>
          <w:ilvl w:val="0"/>
          <w:numId w:val="4"/>
        </w:numPr>
        <w:tabs>
          <w:tab w:val="clear" w:pos="720"/>
          <w:tab w:val="left" w:pos="284" w:leader="none"/>
        </w:tabs>
        <w:jc w:val="both"/>
        <w:rPr>
          <w:rFonts w:ascii="Calibri" w:hAnsi="Calibri" w:cs="Calibri" w:asciiTheme="minorHAnsi" w:cstheme="minorHAnsi" w:hAnsiTheme="minorHAnsi"/>
          <w:color w:val="000000"/>
        </w:rPr>
      </w:pPr>
      <w:r>
        <w:rPr>
          <w:rFonts w:cs="Calibri" w:cstheme="minorHAnsi"/>
          <w:color w:val="000000"/>
          <w:sz w:val="22"/>
          <w:szCs w:val="22"/>
        </w:rPr>
        <w:t xml:space="preserve">El jefe de departamento y los profesores de la materia en 3º de ESO, estarán a disposición de estos alumnos/as para resolver las dudas que pudieran tener durante la elaboración de los dosieres. Las dudas se resolverán bien en el aula, bien por vía telemática o concertando una cita previa con el docente en un recreo.  </w:t>
      </w:r>
    </w:p>
    <w:p>
      <w:pPr>
        <w:pStyle w:val="Normal"/>
        <w:numPr>
          <w:ilvl w:val="0"/>
          <w:numId w:val="4"/>
        </w:numPr>
        <w:tabs>
          <w:tab w:val="clear" w:pos="720"/>
          <w:tab w:val="left" w:pos="284" w:leader="none"/>
        </w:tabs>
        <w:jc w:val="both"/>
        <w:rPr>
          <w:rFonts w:ascii="Calibri" w:hAnsi="Calibri" w:cs="Calibri" w:asciiTheme="minorHAnsi" w:cstheme="minorHAnsi" w:hAnsiTheme="minorHAnsi"/>
          <w:color w:val="000000"/>
        </w:rPr>
      </w:pPr>
      <w:r>
        <w:rPr>
          <w:rFonts w:cs="Calibri" w:cstheme="minorHAnsi"/>
          <w:color w:val="000000"/>
          <w:sz w:val="22"/>
          <w:szCs w:val="22"/>
        </w:rPr>
        <w:t xml:space="preserve">Si se considera oportuno, el jefe de departamento puede convocar de manera voluntaria a los alumnos/as con la materia no superada  para la realización de clases breves de repaso. </w:t>
      </w:r>
    </w:p>
    <w:p>
      <w:pPr>
        <w:pStyle w:val="Normal"/>
        <w:numPr>
          <w:ilvl w:val="0"/>
          <w:numId w:val="4"/>
        </w:numPr>
        <w:tabs>
          <w:tab w:val="clear" w:pos="720"/>
          <w:tab w:val="left" w:pos="284" w:leader="none"/>
        </w:tabs>
        <w:jc w:val="both"/>
        <w:rPr>
          <w:rFonts w:ascii="Calibri" w:hAnsi="Calibri" w:cs="Calibri" w:asciiTheme="minorHAnsi" w:cstheme="minorHAnsi" w:hAnsiTheme="minorHAnsi"/>
          <w:color w:val="000000"/>
        </w:rPr>
      </w:pPr>
      <w:r>
        <w:rPr>
          <w:rFonts w:cs="Calibri" w:cstheme="minorHAnsi"/>
          <w:color w:val="000000"/>
          <w:sz w:val="22"/>
          <w:szCs w:val="22"/>
        </w:rPr>
        <w:t xml:space="preserve">El dossier de ejercicios de cada evaluación será entregado en forma y fecha a través de Google Classroom y corregido por el jefe de departamento. La calificación obtenida en dicho dossier tendrá una repercusión del 30 % en la calificación de la evaluación correspondiente. </w:t>
        <w:tab/>
        <w:tab/>
      </w:r>
    </w:p>
    <w:p>
      <w:pPr>
        <w:pStyle w:val="Normal"/>
        <w:numPr>
          <w:ilvl w:val="0"/>
          <w:numId w:val="4"/>
        </w:numPr>
        <w:tabs>
          <w:tab w:val="clear" w:pos="720"/>
          <w:tab w:val="left" w:pos="284" w:leader="none"/>
        </w:tabs>
        <w:jc w:val="both"/>
        <w:rPr>
          <w:rFonts w:ascii="Calibri" w:hAnsi="Calibri"/>
          <w:sz w:val="22"/>
          <w:szCs w:val="22"/>
        </w:rPr>
      </w:pPr>
      <w:r>
        <w:rPr>
          <w:rFonts w:cs="Calibri" w:cstheme="minorHAnsi"/>
          <w:color w:val="000000"/>
          <w:sz w:val="22"/>
          <w:szCs w:val="22"/>
        </w:rPr>
        <w:t xml:space="preserve">La prueba escrita que tendrá lugar en cada evaluación en una fecha que se publicará con suficiente anterioridad tendrá un peso en la calificación de la evaluación del 70 %.  </w:t>
        <w:tab/>
      </w:r>
    </w:p>
    <w:p>
      <w:pPr>
        <w:pStyle w:val="Normal"/>
        <w:numPr>
          <w:ilvl w:val="0"/>
          <w:numId w:val="4"/>
        </w:numPr>
        <w:tabs>
          <w:tab w:val="clear" w:pos="720"/>
          <w:tab w:val="left" w:pos="284" w:leader="none"/>
        </w:tabs>
        <w:spacing w:before="200" w:after="240"/>
        <w:jc w:val="both"/>
        <w:rPr>
          <w:rFonts w:ascii="Calibri" w:hAnsi="Calibri"/>
          <w:sz w:val="22"/>
          <w:szCs w:val="22"/>
        </w:rPr>
      </w:pPr>
      <w:r>
        <w:rPr>
          <w:rFonts w:cs="Calibri" w:cstheme="minorHAnsi"/>
          <w:color w:val="000000"/>
          <w:sz w:val="22"/>
          <w:szCs w:val="22"/>
        </w:rPr>
        <w:t>Será necesaria la obtención de una calificación mínima de 5 para poder considerar la materia como superada.</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eastAsia="Cambria"/>
          <w:b/>
          <w:b/>
          <w:u w:val="single"/>
        </w:rPr>
      </w:pPr>
      <w:r>
        <w:rPr>
          <w:rFonts w:eastAsia="Cambria"/>
          <w:b/>
          <w:sz w:val="22"/>
          <w:szCs w:val="22"/>
          <w:u w:val="single"/>
        </w:rPr>
        <w:t>9. ESTRATEGIAS DIDÁCTICAS Y METODOLÓGICAS</w:t>
      </w:r>
    </w:p>
    <w:p>
      <w:pPr>
        <w:pStyle w:val="Normal"/>
        <w:tabs>
          <w:tab w:val="clear" w:pos="720"/>
          <w:tab w:val="left" w:pos="284" w:leader="none"/>
        </w:tabs>
        <w:ind w:firstLine="284"/>
        <w:jc w:val="both"/>
        <w:rPr>
          <w:color w:val="000000"/>
        </w:rPr>
      </w:pPr>
      <w:r>
        <w:rPr>
          <w:color w:val="000000"/>
          <w:sz w:val="22"/>
          <w:szCs w:val="22"/>
        </w:rPr>
        <w:t>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p>
    <w:p>
      <w:pPr>
        <w:pStyle w:val="Normal"/>
        <w:ind w:firstLine="283"/>
        <w:jc w:val="both"/>
        <w:rPr>
          <w:color w:val="000000"/>
        </w:rPr>
      </w:pPr>
      <w:r>
        <w:rPr>
          <w:color w:val="000000"/>
          <w:sz w:val="22"/>
          <w:szCs w:val="22"/>
        </w:rPr>
        <w:t xml:space="preserve">Los alumnos/as de 4º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p>
    <w:p>
      <w:pPr>
        <w:pStyle w:val="Normal"/>
        <w:numPr>
          <w:ilvl w:val="0"/>
          <w:numId w:val="5"/>
        </w:numPr>
        <w:jc w:val="both"/>
        <w:rPr>
          <w:color w:val="000000"/>
        </w:rPr>
      </w:pPr>
      <w:r>
        <w:rPr>
          <w:b/>
          <w:color w:val="000000"/>
          <w:sz w:val="22"/>
          <w:szCs w:val="22"/>
        </w:rPr>
        <w:t>Entornos digitales</w:t>
      </w:r>
      <w:r>
        <w:rPr>
          <w:color w:val="000000"/>
          <w:sz w:val="22"/>
          <w:szCs w:val="22"/>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p>
    <w:p>
      <w:pPr>
        <w:pStyle w:val="Normal"/>
        <w:numPr>
          <w:ilvl w:val="0"/>
          <w:numId w:val="5"/>
        </w:numPr>
        <w:jc w:val="both"/>
        <w:rPr>
          <w:color w:val="000000"/>
        </w:rPr>
      </w:pPr>
      <w:r>
        <w:rPr>
          <w:b/>
          <w:color w:val="000000"/>
          <w:sz w:val="22"/>
          <w:szCs w:val="22"/>
        </w:rPr>
        <w:t>Actividades variadas</w:t>
      </w:r>
      <w:r>
        <w:rPr>
          <w:color w:val="000000"/>
          <w:sz w:val="22"/>
          <w:szCs w:val="22"/>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p>
    <w:p>
      <w:pPr>
        <w:pStyle w:val="Normal"/>
        <w:numPr>
          <w:ilvl w:val="0"/>
          <w:numId w:val="5"/>
        </w:numPr>
        <w:jc w:val="both"/>
        <w:rPr>
          <w:color w:val="000000"/>
        </w:rPr>
      </w:pPr>
      <w:r>
        <w:rPr>
          <w:b/>
          <w:color w:val="000000"/>
          <w:sz w:val="22"/>
          <w:szCs w:val="22"/>
        </w:rPr>
        <w:t>Actividades contextualizadas</w:t>
      </w:r>
      <w:r>
        <w:rPr>
          <w:color w:val="000000"/>
          <w:sz w:val="22"/>
          <w:szCs w:val="22"/>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p>
    <w:p>
      <w:pPr>
        <w:pStyle w:val="Normal"/>
        <w:numPr>
          <w:ilvl w:val="0"/>
          <w:numId w:val="5"/>
        </w:numPr>
        <w:tabs>
          <w:tab w:val="clear" w:pos="720"/>
          <w:tab w:val="left" w:pos="284" w:leader="none"/>
        </w:tabs>
        <w:ind w:left="709" w:hanging="425"/>
        <w:jc w:val="both"/>
        <w:rPr>
          <w:color w:val="000000"/>
        </w:rPr>
      </w:pPr>
      <w:r>
        <w:rPr>
          <w:b/>
          <w:color w:val="000000"/>
          <w:sz w:val="22"/>
          <w:szCs w:val="22"/>
        </w:rPr>
        <w:t>Buen clima de clase</w:t>
      </w:r>
      <w:r>
        <w:rPr>
          <w:color w:val="000000"/>
          <w:sz w:val="22"/>
          <w:szCs w:val="22"/>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p>
    <w:p>
      <w:pPr>
        <w:pStyle w:val="Normal"/>
        <w:numPr>
          <w:ilvl w:val="0"/>
          <w:numId w:val="5"/>
        </w:numPr>
        <w:tabs>
          <w:tab w:val="clear" w:pos="720"/>
          <w:tab w:val="left" w:pos="284" w:leader="none"/>
        </w:tabs>
        <w:ind w:left="709" w:hanging="425"/>
        <w:jc w:val="both"/>
        <w:rPr>
          <w:color w:val="000000"/>
        </w:rPr>
      </w:pPr>
      <w:r>
        <w:rPr>
          <w:b/>
          <w:color w:val="000000"/>
          <w:sz w:val="22"/>
          <w:szCs w:val="22"/>
        </w:rPr>
        <w:t>Laboratorio de Física y química</w:t>
      </w:r>
      <w:r>
        <w:rPr>
          <w:color w:val="000000"/>
          <w:sz w:val="22"/>
          <w:szCs w:val="22"/>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p>
    <w:p>
      <w:pPr>
        <w:pStyle w:val="Normal"/>
        <w:keepNext w:val="true"/>
        <w:jc w:val="both"/>
        <w:rPr>
          <w:rFonts w:ascii="Calibri" w:hAnsi="Calibri" w:eastAsia="Cambria" w:cs="Cambria"/>
          <w:sz w:val="22"/>
          <w:szCs w:val="22"/>
        </w:rPr>
      </w:pPr>
      <w:r>
        <w:rPr>
          <w:rFonts w:eastAsia="Cambria" w:cs="Cambria"/>
          <w:sz w:val="22"/>
          <w:szCs w:val="22"/>
        </w:rPr>
      </w:r>
    </w:p>
    <w:p>
      <w:pPr>
        <w:pStyle w:val="Normal"/>
        <w:jc w:val="both"/>
        <w:rPr>
          <w:rFonts w:eastAsia="Cambria"/>
          <w:b/>
          <w:b/>
          <w:u w:val="single"/>
        </w:rPr>
      </w:pPr>
      <w:r>
        <w:rPr>
          <w:rFonts w:eastAsia="Cambria"/>
          <w:b/>
          <w:sz w:val="22"/>
          <w:szCs w:val="22"/>
          <w:u w:val="single"/>
        </w:rPr>
        <w:t>10. CONCRECIÓN DEL PLAN LECTOR</w:t>
      </w:r>
    </w:p>
    <w:p>
      <w:pPr>
        <w:pStyle w:val="Normal"/>
        <w:tabs>
          <w:tab w:val="clear" w:pos="720"/>
          <w:tab w:val="left" w:pos="284" w:leader="none"/>
        </w:tabs>
        <w:ind w:firstLine="284"/>
        <w:jc w:val="both"/>
        <w:rPr>
          <w:rFonts w:ascii="Cambria" w:hAnsi="Cambria"/>
          <w:sz w:val="22"/>
          <w:szCs w:val="22"/>
        </w:rPr>
      </w:pPr>
      <w:r>
        <w:rPr>
          <w:sz w:val="22"/>
          <w:szCs w:val="22"/>
        </w:rPr>
        <w:t>D</w:t>
      </w:r>
      <w:bookmarkStart w:id="3" w:name="__DdeLink__2784_3486133297"/>
      <w:r>
        <w:rPr>
          <w:sz w:val="22"/>
          <w:szCs w:val="22"/>
        </w:rPr>
        <w:t xml:space="preserve">ado que es fundamental la competencia en comunicación lingüística en la formación del alumnado, en el Plan Lector específico de la materia de Física y Química en 4º de ESO se llevarán a cabo las siguientes medidas: </w:t>
      </w:r>
    </w:p>
    <w:p>
      <w:pPr>
        <w:pStyle w:val="Normal"/>
        <w:numPr>
          <w:ilvl w:val="0"/>
          <w:numId w:val="6"/>
        </w:numPr>
        <w:tabs>
          <w:tab w:val="clear" w:pos="720"/>
          <w:tab w:val="left" w:pos="284" w:leader="none"/>
        </w:tabs>
        <w:jc w:val="both"/>
        <w:rPr>
          <w:rFonts w:ascii="Cambria" w:hAnsi="Cambria"/>
          <w:sz w:val="22"/>
          <w:szCs w:val="22"/>
        </w:rPr>
      </w:pPr>
      <w:r>
        <w:rPr>
          <w:sz w:val="22"/>
          <w:szCs w:val="22"/>
        </w:rPr>
        <w:t xml:space="preserve">Lectura de textos relacionados con el conocimiento científico y las relaciones entre ciencia, tecnología y sociedad.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6"/>
        </w:numPr>
        <w:tabs>
          <w:tab w:val="clear" w:pos="720"/>
          <w:tab w:val="left" w:pos="284" w:leader="none"/>
        </w:tabs>
        <w:jc w:val="both"/>
        <w:rPr>
          <w:rFonts w:ascii="Cambria" w:hAnsi="Cambria"/>
          <w:sz w:val="22"/>
          <w:szCs w:val="22"/>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rFonts w:ascii="Cambria" w:hAnsi="Cambria"/>
          <w:sz w:val="22"/>
          <w:szCs w:val="22"/>
        </w:rPr>
      </w:pPr>
      <w:r>
        <w:rPr>
          <w:sz w:val="22"/>
          <w:szCs w:val="22"/>
        </w:rPr>
        <w:t>La presentación de los trabajos tanto escritos como orales se realizará siguiendo las pautas y recomendaciones recogidas en el Proyecto Lingüístico del centro.</w:t>
      </w:r>
      <w:bookmarkEnd w:id="3"/>
    </w:p>
    <w:p>
      <w:pPr>
        <w:pStyle w:val="Normal"/>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11. CONCRECIÓN DEL PLAN DE IMPLEMENTACIÓN DE ELEMENTOS TRANSVERSALES</w:t>
      </w:r>
    </w:p>
    <w:p>
      <w:pPr>
        <w:pStyle w:val="Normal"/>
        <w:ind w:firstLine="284"/>
        <w:jc w:val="both"/>
        <w:rPr>
          <w:rFonts w:ascii="Calibri" w:hAnsi="Calibri" w:cs="Calibri" w:asciiTheme="minorHAnsi" w:cstheme="minorHAnsi" w:hAnsiTheme="minorHAnsi"/>
        </w:rPr>
      </w:pPr>
      <w:r>
        <w:rPr>
          <w:rFonts w:cs="Calibri" w:cstheme="minorHAnsi"/>
          <w:sz w:val="22"/>
          <w:szCs w:val="22"/>
        </w:rPr>
        <w:t>La legislación establece una serie de elementos transversales que deben ser tratados en todas las materias de la Educación Secundaria y que contribuyen a la formación de los alumnos más allá de los contenidos curriculares. En la materia de Física y Química en 4º de ESO se trabajarán los elementos transversales recogidos en el Plan de implementación de elementos transversales contenido en el Proyecto Curricular de Etapa del centro. Una propuesta sería la recogida en la siguiente tabla:</w:t>
      </w:r>
    </w:p>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7535" w:type="dxa"/>
        <w:jc w:val="left"/>
        <w:tblInd w:w="-5" w:type="dxa"/>
        <w:tblCellMar>
          <w:top w:w="0" w:type="dxa"/>
          <w:left w:w="115" w:type="dxa"/>
          <w:bottom w:w="0" w:type="dxa"/>
          <w:right w:w="115" w:type="dxa"/>
        </w:tblCellMar>
        <w:tblLook w:firstRow="1" w:noVBand="1" w:lastRow="0" w:firstColumn="1" w:lastColumn="0" w:noHBand="0" w:val="04a0"/>
      </w:tblPr>
      <w:tblGrid>
        <w:gridCol w:w="3548"/>
        <w:gridCol w:w="340"/>
        <w:gridCol w:w="337"/>
        <w:gridCol w:w="338"/>
        <w:gridCol w:w="341"/>
        <w:gridCol w:w="336"/>
        <w:gridCol w:w="338"/>
        <w:gridCol w:w="340"/>
        <w:gridCol w:w="339"/>
        <w:gridCol w:w="339"/>
        <w:gridCol w:w="453"/>
        <w:gridCol w:w="485"/>
      </w:tblGrid>
      <w:tr>
        <w:trPr/>
        <w:tc>
          <w:tcPr>
            <w:tcW w:w="3548" w:type="dxa"/>
            <w:vMerge w:val="restart"/>
            <w:tcBorders>
              <w:top w:val="single" w:sz="4" w:space="0" w:color="000000"/>
              <w:left w:val="single" w:sz="4" w:space="0" w:color="000000"/>
              <w:bottom w:val="single" w:sz="4" w:space="0" w:color="000000"/>
              <w:right w:val="single" w:sz="4" w:space="0" w:color="000000"/>
            </w:tcBorders>
            <w:shd w:color="auto" w:fill="E2EFD9" w:val="clear"/>
            <w:vAlign w:val="center"/>
          </w:tcPr>
          <w:p>
            <w:pPr>
              <w:pStyle w:val="Normal"/>
              <w:spacing w:lineRule="auto" w:line="240" w:before="0" w:after="120"/>
              <w:jc w:val="center"/>
              <w:rPr>
                <w:rFonts w:eastAsia="Times New Roman"/>
                <w:color w:val="auto"/>
              </w:rPr>
            </w:pPr>
            <w:r>
              <w:rPr>
                <w:rFonts w:eastAsia="Times New Roman"/>
                <w:b/>
                <w:bCs/>
                <w:color w:val="auto"/>
                <w:sz w:val="22"/>
                <w:szCs w:val="22"/>
              </w:rPr>
              <w:t>CONTENIDOS TRANSVERSALES</w:t>
            </w:r>
          </w:p>
        </w:tc>
        <w:tc>
          <w:tcPr>
            <w:tcW w:w="3986" w:type="dxa"/>
            <w:gridSpan w:val="11"/>
            <w:tcBorders>
              <w:top w:val="single" w:sz="8" w:space="0" w:color="000000"/>
              <w:left w:val="single" w:sz="4" w:space="0" w:color="000000"/>
              <w:bottom w:val="single" w:sz="4" w:space="0" w:color="000000"/>
              <w:right w:val="single" w:sz="4" w:space="0" w:color="000000"/>
            </w:tcBorders>
            <w:shd w:color="auto" w:fill="E2EFD9" w:val="clear"/>
            <w:vAlign w:val="center"/>
          </w:tcPr>
          <w:p>
            <w:pPr>
              <w:pStyle w:val="Normal"/>
              <w:spacing w:lineRule="auto" w:line="240" w:before="0" w:after="120"/>
              <w:jc w:val="center"/>
              <w:rPr>
                <w:rFonts w:eastAsia="Times New Roman"/>
                <w:color w:val="auto"/>
              </w:rPr>
            </w:pPr>
            <w:r>
              <w:rPr>
                <w:rFonts w:eastAsia="Times New Roman"/>
                <w:b/>
                <w:bCs/>
                <w:color w:val="auto"/>
                <w:sz w:val="22"/>
                <w:szCs w:val="22"/>
              </w:rPr>
              <w:t>SITUACIONES DE APRENDIZAJE 4º CURSO</w:t>
            </w:r>
          </w:p>
        </w:tc>
      </w:tr>
      <w:tr>
        <w:trPr/>
        <w:tc>
          <w:tcPr>
            <w:tcW w:w="3548" w:type="dxa"/>
            <w:vMerge w:val="continue"/>
            <w:tcBorders>
              <w:top w:val="single" w:sz="4" w:space="0" w:color="000000"/>
              <w:left w:val="single" w:sz="4" w:space="0" w:color="000000"/>
              <w:bottom w:val="single" w:sz="4" w:space="0" w:color="000000"/>
              <w:right w:val="single" w:sz="4"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1</w:t>
            </w:r>
          </w:p>
        </w:tc>
        <w:tc>
          <w:tcPr>
            <w:tcW w:w="337"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2</w:t>
            </w:r>
          </w:p>
        </w:tc>
        <w:tc>
          <w:tcPr>
            <w:tcW w:w="338"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3</w:t>
            </w:r>
          </w:p>
        </w:tc>
        <w:tc>
          <w:tcPr>
            <w:tcW w:w="341"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4</w:t>
            </w:r>
          </w:p>
        </w:tc>
        <w:tc>
          <w:tcPr>
            <w:tcW w:w="336"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5</w:t>
            </w:r>
          </w:p>
        </w:tc>
        <w:tc>
          <w:tcPr>
            <w:tcW w:w="338"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6</w:t>
            </w:r>
          </w:p>
        </w:tc>
        <w:tc>
          <w:tcPr>
            <w:tcW w:w="340"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7</w:t>
            </w:r>
          </w:p>
        </w:tc>
        <w:tc>
          <w:tcPr>
            <w:tcW w:w="339"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8</w:t>
            </w:r>
          </w:p>
        </w:tc>
        <w:tc>
          <w:tcPr>
            <w:tcW w:w="339"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9</w:t>
            </w:r>
          </w:p>
        </w:tc>
        <w:tc>
          <w:tcPr>
            <w:tcW w:w="453"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10</w:t>
            </w:r>
          </w:p>
        </w:tc>
        <w:tc>
          <w:tcPr>
            <w:tcW w:w="485"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rFonts w:eastAsia="Times New Roman"/>
                <w:color w:val="auto"/>
              </w:rPr>
            </w:pPr>
            <w:r>
              <w:rPr>
                <w:rFonts w:eastAsia="Times New Roman"/>
                <w:b/>
                <w:bCs/>
                <w:color w:val="auto"/>
                <w:sz w:val="22"/>
                <w:szCs w:val="22"/>
              </w:rPr>
              <w:t>11</w:t>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Comprensión lectora</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Expresión oral </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Comunicación audiovisual</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Competencia digital</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Emprendimiento social y empresarial</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Espíritu crítico y científico</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Educación emocional</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Educación en valores</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Igualdad de género</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rFonts w:eastAsia="Times New Roman"/>
                <w:color w:val="auto"/>
              </w:rPr>
            </w:pPr>
            <w:r>
              <w:rPr>
                <w:rFonts w:eastAsia="Times New Roman"/>
                <w:color w:val="000000"/>
                <w:sz w:val="22"/>
                <w:szCs w:val="22"/>
              </w:rPr>
              <w:t>Desarrollo de la creatividad</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5"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bl>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 xml:space="preserve">12. CONCRECIÓN DEL PLAN DE UTILIZACIÓN DE LAS TECNOLOGÍAS DIGITALES </w:t>
      </w:r>
    </w:p>
    <w:p>
      <w:pPr>
        <w:pStyle w:val="Normal"/>
        <w:spacing w:lineRule="auto" w:line="288"/>
        <w:ind w:firstLine="284"/>
        <w:jc w:val="both"/>
        <w:rPr>
          <w:rFonts w:ascii="Calibri" w:hAnsi="Calibri" w:eastAsia="Cambria" w:cs="Calibri" w:asciiTheme="minorHAnsi" w:cstheme="minorHAnsi" w:hAnsiTheme="minorHAnsi"/>
        </w:rPr>
      </w:pPr>
      <w:r>
        <w:rPr>
          <w:rFonts w:eastAsia="Cambria" w:cs="Calibri" w:cstheme="minorHAnsi"/>
          <w:sz w:val="22"/>
          <w:szCs w:val="22"/>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4º de ESO se aplicarán las siguientes medidas: </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Potenciar el uso de las TIC como herramienta educativa, medio de apoyo y refuerzo en el aprendizaje del alumnado.</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Utilizar con las TIC como fuente de información, favoreciendo en el alumnado el espíritu crítico en la búsqueda y tratamiento de la información obtenida en Internet.</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Potenciar entre el alumnado el uso el ordenador como medio de investigación para ampliar conocimientos y elaborar trabajos.</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Disponibilidad de un ordenador y una pizarra digital o pantalla en las aulas de grupo.</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Disponibilidad de aulas específicas de informática, dotadas con ordenadores suficientes.</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Creación, selección y organización de materiales curriculares o de software educativo.</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Uso del correo electrónico corporativo para las comunicaciones entre el profesorado, con el alumnado y el resto de la comunidad educativa.</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Búsqueda crítica de información en Internet y utilizarla en la elaboración de trabajos o proyectos por parte del alumnado.</w:t>
      </w:r>
    </w:p>
    <w:p>
      <w:pPr>
        <w:pStyle w:val="ListParagraph"/>
        <w:numPr>
          <w:ilvl w:val="0"/>
          <w:numId w:val="8"/>
        </w:numPr>
        <w:ind w:left="567" w:hanging="283"/>
        <w:jc w:val="both"/>
        <w:rPr>
          <w:rFonts w:ascii="Calibri" w:hAnsi="Calibri" w:eastAsia="Cambria" w:cs="Calibri" w:asciiTheme="minorHAnsi" w:cstheme="minorHAnsi" w:hAnsiTheme="minorHAnsi"/>
        </w:rPr>
      </w:pPr>
      <w:r>
        <w:rPr>
          <w:rFonts w:eastAsia="Cambria" w:cs="Calibri" w:cstheme="minorHAnsi"/>
          <w:sz w:val="22"/>
          <w:szCs w:val="22"/>
        </w:rPr>
        <w:t>Elaboración de trabajos, informes, dibujos, gráficas, presentaciones, exposiciones relacionadas con distintas materias y que supongan el uso de distintos programas informáticos.</w:t>
      </w:r>
    </w:p>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13. EN SU CASO, MEDIDAS COMPLEMENTARIAS QUE SE PLANTEAN PARA EL TRATAMIENTO DE LAS MATERIAS DENTRO DEL PROYECTO BILINGÜE</w:t>
      </w:r>
    </w:p>
    <w:p>
      <w:pPr>
        <w:pStyle w:val="Normal"/>
        <w:jc w:val="both"/>
        <w:rPr>
          <w:rFonts w:ascii="Calibri" w:hAnsi="Calibri" w:eastAsia="Cambria" w:cs="Calibri" w:asciiTheme="minorHAnsi" w:cstheme="minorHAnsi" w:hAnsiTheme="minorHAnsi"/>
        </w:rPr>
      </w:pPr>
      <w:r>
        <w:rPr>
          <w:rFonts w:eastAsia="Cambria" w:cs="Calibri" w:cstheme="minorHAnsi"/>
          <w:sz w:val="22"/>
          <w:szCs w:val="22"/>
        </w:rPr>
        <w:t xml:space="preserve">La materia de Física y química no se imparte en el programa Bilingüe en 4º de ESO en este centro.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libri" w:asciiTheme="minorHAnsi" w:cstheme="minorHAnsi" w:hAnsiTheme="minorHAnsi"/>
          <w:b/>
          <w:b/>
          <w:u w:val="single"/>
        </w:rPr>
      </w:pPr>
      <w:r>
        <w:rPr>
          <w:rFonts w:eastAsia="Cambria" w:cs="Calibri" w:cstheme="minorHAnsi"/>
          <w:b/>
          <w:sz w:val="22"/>
          <w:szCs w:val="22"/>
          <w:u w:val="single"/>
        </w:rPr>
        <w:t>14. MECANISMOS DE REVISIÓN, EVALUACIÓN Y MODIFICACIÓN DE LAS PROGRAMACIONES DIDÁCTICAS</w:t>
      </w:r>
    </w:p>
    <w:p>
      <w:pPr>
        <w:pStyle w:val="Normal"/>
        <w:spacing w:before="0" w:after="0"/>
        <w:ind w:firstLine="284"/>
        <w:jc w:val="both"/>
        <w:rPr>
          <w:rFonts w:ascii="Calibri" w:hAnsi="Calibri" w:cs="Calibri" w:asciiTheme="minorHAnsi" w:cstheme="minorHAnsi" w:hAnsiTheme="minorHAnsi"/>
        </w:rPr>
      </w:pPr>
      <w:r>
        <w:rPr>
          <w:rFonts w:cs="Calibri" w:cstheme="minorHAnsi"/>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Normal"/>
        <w:spacing w:before="0" w:after="0"/>
        <w:ind w:firstLine="284"/>
        <w:jc w:val="both"/>
        <w:rPr>
          <w:rFonts w:ascii="Calibri" w:hAnsi="Calibri" w:cs="Calibri" w:cstheme="minorHAnsi"/>
          <w:sz w:val="22"/>
          <w:szCs w:val="22"/>
        </w:rPr>
      </w:pPr>
      <w:r>
        <w:rPr>
          <w:rFonts w:cs="Calibri" w:cstheme="minorHAnsi"/>
          <w:sz w:val="22"/>
          <w:szCs w:val="22"/>
        </w:rPr>
      </w:r>
    </w:p>
    <w:p>
      <w:pPr>
        <w:pStyle w:val="Normal"/>
        <w:spacing w:before="0" w:after="0"/>
        <w:ind w:firstLine="284"/>
        <w:jc w:val="both"/>
        <w:rPr>
          <w:rFonts w:ascii="Calibri" w:hAnsi="Calibri" w:cs="Calibri" w:asciiTheme="minorHAnsi" w:cstheme="minorHAnsi" w:hAnsiTheme="minorHAnsi"/>
        </w:rPr>
      </w:pPr>
      <w:r>
        <w:rPr>
          <w:rFonts w:cs="Calibri" w:cstheme="minorHAnsi"/>
          <w:sz w:val="22"/>
          <w:szCs w:val="22"/>
        </w:rPr>
        <w:t>Durante el desarrollo del curso, el grado de cumplimiento de la programación de cada materia se valora mensualmente en una de las Reuniones de Departamento. De esta forma se pueden detectar desviaciones entre los diferentes grupos de un mismo nivel, por ejemplo. Para realizar un seguimiento adecuado del cumplimiento de la programación se puede utilizar la hoja Excel Cuaderno del Profesor, que es una herramienta muy útil para que el propio docente compruebe que el número de sesiones asignadas a cada UD es correcto y que no se producen desviaciones significativas. En caso de ausencias imprevistas del docente, con esta herramienta se dispone de una visión global del desarrollo de las UD y se pueden proponer mecanismos de corrección de una forma más intuitiva.</w:t>
      </w:r>
    </w:p>
    <w:p>
      <w:pPr>
        <w:pStyle w:val="Normal"/>
        <w:spacing w:before="0" w:after="0"/>
        <w:ind w:firstLine="284"/>
        <w:jc w:val="both"/>
        <w:rPr>
          <w:rFonts w:ascii="Calibri" w:hAnsi="Calibri" w:cs="Calibri" w:cstheme="minorHAnsi"/>
          <w:sz w:val="22"/>
          <w:szCs w:val="22"/>
        </w:rPr>
      </w:pPr>
      <w:r>
        <w:rPr>
          <w:rFonts w:cs="Calibri" w:cstheme="minorHAnsi"/>
          <w:sz w:val="22"/>
          <w:szCs w:val="22"/>
        </w:rPr>
      </w:r>
    </w:p>
    <w:p>
      <w:pPr>
        <w:pStyle w:val="Normal"/>
        <w:spacing w:before="0" w:after="0"/>
        <w:ind w:firstLine="284"/>
        <w:jc w:val="both"/>
        <w:rPr>
          <w:rFonts w:ascii="Calibri" w:hAnsi="Calibri" w:cs="Calibri" w:asciiTheme="minorHAnsi" w:cstheme="minorHAnsi" w:hAnsiTheme="minorHAnsi"/>
        </w:rPr>
      </w:pPr>
      <w:r>
        <w:rPr>
          <w:rFonts w:cs="Calibri" w:cstheme="minorHAnsi"/>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Normal"/>
        <w:tabs>
          <w:tab w:val="clear" w:pos="720"/>
          <w:tab w:val="left" w:pos="284" w:leader="none"/>
        </w:tabs>
        <w:spacing w:before="0" w:after="0"/>
        <w:ind w:firstLine="284"/>
        <w:jc w:val="both"/>
        <w:rPr>
          <w:rFonts w:ascii="Calibri" w:hAnsi="Calibri" w:cs="Calibri" w:cstheme="minorHAnsi"/>
          <w:sz w:val="22"/>
          <w:szCs w:val="22"/>
        </w:rPr>
      </w:pPr>
      <w:r>
        <w:rPr>
          <w:rFonts w:cs="Calibri" w:cstheme="minorHAnsi"/>
          <w:sz w:val="22"/>
          <w:szCs w:val="22"/>
        </w:rPr>
      </w:r>
    </w:p>
    <w:p>
      <w:pPr>
        <w:pStyle w:val="Normal"/>
        <w:tabs>
          <w:tab w:val="clear" w:pos="720"/>
          <w:tab w:val="left" w:pos="284" w:leader="none"/>
        </w:tabs>
        <w:spacing w:before="0" w:after="0"/>
        <w:ind w:firstLine="284"/>
        <w:jc w:val="both"/>
        <w:rPr>
          <w:rFonts w:ascii="Calibri" w:hAnsi="Calibri" w:cs="Calibri" w:asciiTheme="minorHAnsi" w:cstheme="minorHAnsi" w:hAnsiTheme="minorHAnsi"/>
        </w:rPr>
      </w:pPr>
      <w:r>
        <w:rPr>
          <w:rFonts w:cs="Calibri" w:cstheme="minorHAnsi"/>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rFonts w:ascii="Calibri" w:hAnsi="Calibri" w:cs="Calibri" w:asciiTheme="minorHAnsi" w:cstheme="minorHAnsi" w:hAnsiTheme="minorHAnsi"/>
        </w:rPr>
      </w:pPr>
      <w:r>
        <w:rPr>
          <w:rFonts w:cs="Calibri" w:cstheme="minorHAnsi"/>
          <w:sz w:val="22"/>
          <w:szCs w:val="22"/>
        </w:rPr>
        <w:t xml:space="preserve">Finalmente, se procederá a revisar la programación una vez que el curso ha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rFonts w:ascii="Calibri" w:hAnsi="Calibri" w:eastAsia="Cambria"/>
          <w:b/>
          <w:b/>
          <w:sz w:val="22"/>
          <w:szCs w:val="22"/>
          <w:u w:val="single"/>
        </w:rPr>
      </w:pPr>
      <w:r>
        <w:rPr>
          <w:rFonts w:eastAsia="Cambria"/>
          <w:b/>
          <w:sz w:val="22"/>
          <w:szCs w:val="22"/>
          <w:u w:val="single"/>
        </w:rPr>
      </w:r>
    </w:p>
    <w:p>
      <w:pPr>
        <w:pStyle w:val="Normal"/>
        <w:jc w:val="both"/>
        <w:rPr>
          <w:rFonts w:eastAsia="Cambria"/>
          <w:b/>
          <w:b/>
          <w:u w:val="single"/>
        </w:rPr>
      </w:pPr>
      <w:r>
        <w:rPr>
          <w:rFonts w:eastAsia="Cambria"/>
          <w:b/>
          <w:sz w:val="22"/>
          <w:szCs w:val="22"/>
          <w:u w:val="single"/>
        </w:rPr>
        <w:t>15. ACTIVIDADES COMPLEMENTARIAS Y EXTRAESCOLARES</w:t>
      </w:r>
    </w:p>
    <w:p>
      <w:pPr>
        <w:pStyle w:val="Normal"/>
        <w:tabs>
          <w:tab w:val="clear" w:pos="720"/>
          <w:tab w:val="left" w:pos="284" w:leader="none"/>
        </w:tabs>
        <w:ind w:firstLine="284"/>
        <w:jc w:val="both"/>
        <w:rPr>
          <w:rFonts w:ascii="Calibri" w:hAnsi="Calibri"/>
          <w:sz w:val="22"/>
          <w:szCs w:val="22"/>
        </w:rPr>
      </w:pPr>
      <w:r>
        <w:rPr>
          <w:sz w:val="22"/>
          <w:szCs w:val="22"/>
        </w:rPr>
        <w:t xml:space="preserve">Para este curso se propone la visita al museo de Mobility en el pabellón puente en Zaragoza a los alumnos que cursen la asignatura de Física y Química. </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rFonts w:eastAsia="Cambria"/>
          <w:b/>
          <w:b/>
          <w:u w:val="single"/>
        </w:rPr>
      </w:pPr>
      <w:r>
        <w:rPr>
          <w:rFonts w:eastAsia="Cambria"/>
          <w:b/>
          <w:sz w:val="22"/>
          <w:szCs w:val="22"/>
          <w:u w:val="single"/>
        </w:rPr>
        <w:t>16. FORMA EN LA QUE SE DAN A CONOCER LOS ASPECTOS RELEVANTES DE ESTA PROGRAMACIÓN AL ALUMNADO Y LAS FAMILIAS</w:t>
      </w:r>
    </w:p>
    <w:p>
      <w:pPr>
        <w:pStyle w:val="Normal"/>
        <w:tabs>
          <w:tab w:val="clear" w:pos="720"/>
          <w:tab w:val="left" w:pos="284" w:leader="none"/>
        </w:tabs>
        <w:ind w:firstLine="284"/>
        <w:jc w:val="both"/>
        <w:rPr>
          <w:color w:val="000000"/>
        </w:rPr>
      </w:pPr>
      <w:r>
        <w:rPr>
          <w:color w:val="000000"/>
          <w:sz w:val="22"/>
          <w:szCs w:val="22"/>
        </w:rPr>
        <w:t xml:space="preserve">Con el fin de que todos los alumnos/as y sus familias conozcan lo que se les exige para superar la materia de Física y Química en 4º de ESO, se realizarán las siguientes acciones: </w:t>
      </w:r>
    </w:p>
    <w:p>
      <w:pPr>
        <w:pStyle w:val="Normal"/>
        <w:numPr>
          <w:ilvl w:val="0"/>
          <w:numId w:val="7"/>
        </w:numPr>
        <w:tabs>
          <w:tab w:val="clear" w:pos="720"/>
          <w:tab w:val="left" w:pos="284" w:leader="none"/>
        </w:tabs>
        <w:spacing w:before="0" w:after="0"/>
        <w:jc w:val="both"/>
        <w:rPr>
          <w:color w:val="000000"/>
        </w:rPr>
      </w:pPr>
      <w:r>
        <w:rPr>
          <w:color w:val="000000"/>
          <w:sz w:val="22"/>
          <w:szCs w:val="22"/>
        </w:rPr>
        <w:t xml:space="preserve">El profesor de cada grupo informará a todos los alumnos/as en clase de los criterios de calificación y de los instrumentos de evaluación.  </w:t>
      </w:r>
    </w:p>
    <w:p>
      <w:pPr>
        <w:pStyle w:val="Normal"/>
        <w:numPr>
          <w:ilvl w:val="0"/>
          <w:numId w:val="7"/>
        </w:numPr>
        <w:tabs>
          <w:tab w:val="clear" w:pos="720"/>
          <w:tab w:val="left" w:pos="284" w:leader="none"/>
        </w:tabs>
        <w:spacing w:before="0" w:after="0"/>
        <w:jc w:val="both"/>
        <w:rPr>
          <w:rFonts w:ascii="Calibri" w:hAnsi="Calibri"/>
          <w:sz w:val="22"/>
          <w:szCs w:val="22"/>
        </w:rPr>
      </w:pPr>
      <w:r>
        <w:rPr>
          <w:color w:val="000000"/>
          <w:sz w:val="22"/>
          <w:szCs w:val="22"/>
        </w:rPr>
        <w:t xml:space="preserve">En la sección del Departamento de Física y Química de la página web del centro se publicarán los contenidos mínimos de la materia en 4º de ESO y los criterios de calificación. </w:t>
      </w:r>
    </w:p>
    <w:p>
      <w:pPr>
        <w:pStyle w:val="Normal"/>
        <w:numPr>
          <w:ilvl w:val="0"/>
          <w:numId w:val="7"/>
        </w:numPr>
        <w:tabs>
          <w:tab w:val="clear" w:pos="720"/>
          <w:tab w:val="left" w:pos="284" w:leader="none"/>
        </w:tabs>
        <w:jc w:val="both"/>
        <w:rPr>
          <w:color w:val="000000"/>
        </w:rPr>
      </w:pPr>
      <w:r>
        <w:rPr>
          <w:color w:val="000000"/>
          <w:sz w:val="22"/>
          <w:szCs w:val="22"/>
        </w:rPr>
        <w:t xml:space="preserve">Tanto en el Departamento de Física y Química como en Jefatura de Estudios se dispone de una copia de esta programación a disposición de los alumnos/as y sus familias para su consulta. </w:t>
      </w:r>
    </w:p>
    <w:p>
      <w:pPr>
        <w:pStyle w:val="Normal"/>
        <w:tabs>
          <w:tab w:val="clear" w:pos="720"/>
          <w:tab w:val="left" w:pos="284" w:leader="none"/>
        </w:tabs>
        <w:ind w:firstLine="284"/>
        <w:jc w:val="both"/>
        <w:rPr>
          <w:color w:val="000000"/>
        </w:rPr>
      </w:pPr>
      <w:r>
        <w:rPr>
          <w:color w:val="000000"/>
          <w:sz w:val="22"/>
          <w:szCs w:val="22"/>
        </w:rPr>
        <w:t xml:space="preserve">Asimismo, en cualquier momento los profesores de la materia pueden responder a todas aquellas cuestiones que les puedan surgir a los alumnos/as o a sus familias respecto a esta programación didáctica. </w:t>
      </w:r>
    </w:p>
    <w:p>
      <w:pPr>
        <w:pStyle w:val="Normal"/>
        <w:spacing w:before="0" w:after="200"/>
        <w:jc w:val="both"/>
        <w:rPr/>
      </w:pPr>
      <w:r>
        <w:rPr/>
      </w:r>
    </w:p>
    <w:sectPr>
      <w:headerReference w:type="default" r:id="rId2"/>
      <w:footerReference w:type="default" r:id="rId3"/>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Calibri">
    <w:altName w:val="sans-serif"/>
    <w:charset w:val="00"/>
    <w:family w:val="roman"/>
    <w:pitch w:val="variable"/>
  </w:font>
  <w:font w:name="Arial Narrow">
    <w:charset w:val="00"/>
    <w:family w:val="roman"/>
    <w:pitch w:val="variable"/>
  </w:font>
  <w:font w:name="Noto Sans Symbols">
    <w:charset w:val="01"/>
    <w:family w:val="auto"/>
    <w:pitch w:val="default"/>
  </w:font>
  <w:font w:name="Courier New">
    <w:charset w:val="01"/>
    <w:family w:val="modern"/>
    <w:pitch w:val="fixed"/>
  </w:font>
  <w:font w:name="OpenSymbol">
    <w:altName w:val="Arial Unicode MS"/>
    <w:charset w:val="02"/>
    <w:family w:val="auto"/>
    <w:pitch w:val="variable"/>
  </w:font>
  <w:font w:name="Wingdings">
    <w:charset w:val="02"/>
    <w:family w:val="auto"/>
    <w:pitch w:val="variable"/>
  </w:font>
  <w:font w:name="Wingdings 2">
    <w:charset w:val="02"/>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120" w:after="0"/>
      <w:ind w:left="142" w:hanging="0"/>
      <w:jc w:val="center"/>
      <w:rPr>
        <w:rFonts w:ascii="Arial Narrow" w:hAnsi="Arial Narrow" w:eastAsia="Arial Narrow" w:cs="Arial Narrow"/>
        <w:b/>
        <w:b/>
        <w:smallCaps/>
        <w:color w:val="366091"/>
        <w:sz w:val="18"/>
        <w:szCs w:val="18"/>
      </w:rPr>
    </w:pPr>
    <w:r>
      <w:rPr>
        <w:rFonts w:eastAsia="Arial Narrow" w:cs="Arial Narrow" w:ascii="Arial Narrow" w:hAnsi="Arial Narrow"/>
        <w:b/>
        <w:smallCaps/>
        <w:color w:val="366091"/>
        <w:sz w:val="18"/>
        <w:szCs w:val="18"/>
      </w:rPr>
      <w:t xml:space="preserve">IES LA PUEBLA DE </w:t>
    </w:r>
    <w:r>
      <w:rPr>
        <w:rFonts w:eastAsia="Arial Narrow" w:cs="Arial Narrow" w:ascii="Arial Narrow" w:hAnsi="Arial Narrow"/>
        <w:b/>
        <w:smallCaps/>
        <w:color w:val="365F91"/>
        <w:sz w:val="18"/>
        <w:szCs w:val="18"/>
      </w:rPr>
      <w:t>ALFINDÉN</w:t>
    </w:r>
  </w:p>
  <w:p>
    <w:pPr>
      <w:pStyle w:val="Normal"/>
      <w:tabs>
        <w:tab w:val="clear" w:pos="720"/>
        <w:tab w:val="center" w:pos="4252" w:leader="none"/>
        <w:tab w:val="right" w:pos="8504" w:leader="none"/>
      </w:tabs>
      <w:spacing w:lineRule="auto" w:line="240" w:before="0" w:after="0"/>
      <w:ind w:left="142" w:hanging="0"/>
      <w:jc w:val="center"/>
      <w:rPr>
        <w:sz w:val="18"/>
        <w:szCs w:val="18"/>
      </w:rPr>
    </w:pPr>
    <w:r>
      <w:rPr>
        <w:sz w:val="18"/>
        <w:szCs w:val="18"/>
      </w:rPr>
      <w:t>Av. de Pastriz, nº 2 – 50171 – La Puebla de Alfindén, Zaragoza | 976 107 602</w:t>
    </w:r>
  </w:p>
  <w:p>
    <w:pPr>
      <w:pStyle w:val="Normal"/>
      <w:tabs>
        <w:tab w:val="clear" w:pos="720"/>
        <w:tab w:val="center" w:pos="4252" w:leader="none"/>
        <w:tab w:val="right" w:pos="8504" w:leader="none"/>
      </w:tabs>
      <w:spacing w:lineRule="auto" w:line="240" w:before="0" w:after="0"/>
      <w:jc w:val="center"/>
      <w:rPr/>
    </w:pPr>
    <w:r>
      <w:drawing>
        <wp:anchor behindDoc="1" distT="0" distB="0" distL="0" distR="0" simplePos="0" locked="0" layoutInCell="1" allowOverlap="1" relativeHeight="47">
          <wp:simplePos x="0" y="0"/>
          <wp:positionH relativeFrom="column">
            <wp:posOffset>8734425</wp:posOffset>
          </wp:positionH>
          <wp:positionV relativeFrom="paragraph">
            <wp:posOffset>-5779135</wp:posOffset>
          </wp:positionV>
          <wp:extent cx="810895" cy="400685"/>
          <wp:effectExtent l="0" t="0" r="0" b="0"/>
          <wp:wrapNone/>
          <wp:docPr id="2" name="image2.jpg" descr="cropped-20160923_11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g" descr="cropped-20160923_113224"/>
                  <pic:cNvPicPr>
                    <a:picLocks noChangeAspect="1" noChangeArrowheads="1"/>
                  </pic:cNvPicPr>
                </pic:nvPicPr>
                <pic:blipFill>
                  <a:blip r:embed="rId1"/>
                  <a:stretch>
                    <a:fillRect/>
                  </a:stretch>
                </pic:blipFill>
                <pic:spPr bwMode="auto">
                  <a:xfrm>
                    <a:off x="0" y="0"/>
                    <a:ext cx="810895" cy="400685"/>
                  </a:xfrm>
                  <a:prstGeom prst="rect">
                    <a:avLst/>
                  </a:prstGeom>
                </pic:spPr>
              </pic:pic>
            </a:graphicData>
          </a:graphic>
        </wp:anchor>
      </w:drawing>
    </w:r>
    <w:r>
      <w:rPr>
        <w:sz w:val="18"/>
        <w:szCs w:val="18"/>
      </w:rPr>
      <w:t>i</w:t>
    </w:r>
    <w:r>
      <w:rPr>
        <w:sz w:val="18"/>
        <w:szCs w:val="18"/>
      </w:rPr>
      <w:t>eslapuebla@educa.aragon.es | ieslapuebladealfinden.com</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rPr/>
    </w:pPr>
    <w:r>
      <w:rPr/>
      <w:drawing>
        <wp:anchor behindDoc="1" distT="0" distB="0" distL="0" distR="0" simplePos="0" locked="0" layoutInCell="1" allowOverlap="1" relativeHeight="24">
          <wp:simplePos x="0" y="0"/>
          <wp:positionH relativeFrom="column">
            <wp:posOffset>4195445</wp:posOffset>
          </wp:positionH>
          <wp:positionV relativeFrom="paragraph">
            <wp:posOffset>-279400</wp:posOffset>
          </wp:positionV>
          <wp:extent cx="1617980" cy="721995"/>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rcRect l="-10" t="-23" r="-10" b="-23"/>
                  <a:stretch>
                    <a:fillRect/>
                  </a:stretch>
                </pic:blipFill>
                <pic:spPr bwMode="auto">
                  <a:xfrm>
                    <a:off x="0" y="0"/>
                    <a:ext cx="1617980" cy="7219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Noto Sans Symbols" w:hAnsi="Noto Sans Symbols" w:cs="Noto Sans Symbols" w:hint="default"/>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2">
    <w:lvl w:ilvl="0">
      <w:start w:val="1"/>
      <w:numFmt w:val="bullet"/>
      <w:lvlText w:val="●"/>
      <w:lvlJc w:val="left"/>
      <w:pPr>
        <w:ind w:left="1004" w:hanging="360"/>
      </w:pPr>
      <w:rPr>
        <w:rFonts w:ascii="Noto Sans Symbols" w:hAnsi="Noto Sans Symbols" w:cs="Noto Sans Symbols" w:hint="default"/>
        <w:sz w:val="22"/>
        <w:rFonts w:cs="Noto Sans Symbols"/>
      </w:rPr>
    </w:lvl>
    <w:lvl w:ilvl="1">
      <w:start w:val="1"/>
      <w:numFmt w:val="bullet"/>
      <w:lvlText w:val="o"/>
      <w:lvlJc w:val="left"/>
      <w:pPr>
        <w:ind w:left="1724" w:hanging="360"/>
      </w:pPr>
      <w:rPr>
        <w:rFonts w:ascii="Courier New" w:hAnsi="Courier New" w:cs="Courier New" w:hint="default"/>
        <w:rFonts w:cs="Courier New"/>
      </w:rPr>
    </w:lvl>
    <w:lvl w:ilvl="2">
      <w:start w:val="1"/>
      <w:numFmt w:val="bullet"/>
      <w:lvlText w:val="▪"/>
      <w:lvlJc w:val="left"/>
      <w:pPr>
        <w:ind w:left="2444" w:hanging="360"/>
      </w:pPr>
      <w:rPr>
        <w:rFonts w:ascii="Noto Sans Symbols" w:hAnsi="Noto Sans Symbols" w:cs="Noto Sans Symbols" w:hint="default"/>
        <w:rFonts w:cs="Noto Sans Symbols"/>
      </w:rPr>
    </w:lvl>
    <w:lvl w:ilvl="3">
      <w:start w:val="1"/>
      <w:numFmt w:val="bullet"/>
      <w:lvlText w:val="●"/>
      <w:lvlJc w:val="left"/>
      <w:pPr>
        <w:ind w:left="3164" w:hanging="360"/>
      </w:pPr>
      <w:rPr>
        <w:rFonts w:ascii="Noto Sans Symbols" w:hAnsi="Noto Sans Symbols" w:cs="Noto Sans Symbols" w:hint="default"/>
        <w:rFonts w:cs="Noto Sans Symbols"/>
      </w:rPr>
    </w:lvl>
    <w:lvl w:ilvl="4">
      <w:start w:val="1"/>
      <w:numFmt w:val="bullet"/>
      <w:lvlText w:val="o"/>
      <w:lvlJc w:val="left"/>
      <w:pPr>
        <w:ind w:left="3884" w:hanging="360"/>
      </w:pPr>
      <w:rPr>
        <w:rFonts w:ascii="Courier New" w:hAnsi="Courier New" w:cs="Courier New" w:hint="default"/>
        <w:rFonts w:cs="Courier New"/>
      </w:rPr>
    </w:lvl>
    <w:lvl w:ilvl="5">
      <w:start w:val="1"/>
      <w:numFmt w:val="bullet"/>
      <w:lvlText w:val="▪"/>
      <w:lvlJc w:val="left"/>
      <w:pPr>
        <w:ind w:left="4604" w:hanging="360"/>
      </w:pPr>
      <w:rPr>
        <w:rFonts w:ascii="Noto Sans Symbols" w:hAnsi="Noto Sans Symbols" w:cs="Noto Sans Symbols" w:hint="default"/>
        <w:rFonts w:cs="Noto Sans Symbols"/>
      </w:rPr>
    </w:lvl>
    <w:lvl w:ilvl="6">
      <w:start w:val="1"/>
      <w:numFmt w:val="bullet"/>
      <w:lvlText w:val="●"/>
      <w:lvlJc w:val="left"/>
      <w:pPr>
        <w:ind w:left="5324" w:hanging="360"/>
      </w:pPr>
      <w:rPr>
        <w:rFonts w:ascii="Noto Sans Symbols" w:hAnsi="Noto Sans Symbols" w:cs="Noto Sans Symbols" w:hint="default"/>
        <w:rFonts w:cs="Noto Sans Symbols"/>
      </w:rPr>
    </w:lvl>
    <w:lvl w:ilvl="7">
      <w:start w:val="1"/>
      <w:numFmt w:val="bullet"/>
      <w:lvlText w:val="o"/>
      <w:lvlJc w:val="left"/>
      <w:pPr>
        <w:ind w:left="6044" w:hanging="360"/>
      </w:pPr>
      <w:rPr>
        <w:rFonts w:ascii="Courier New" w:hAnsi="Courier New" w:cs="Courier New" w:hint="default"/>
        <w:rFonts w:cs="Courier New"/>
      </w:rPr>
    </w:lvl>
    <w:lvl w:ilvl="8">
      <w:start w:val="1"/>
      <w:numFmt w:val="bullet"/>
      <w:lvlText w:val="▪"/>
      <w:lvlJc w:val="left"/>
      <w:pPr>
        <w:ind w:left="6764" w:hanging="360"/>
      </w:pPr>
      <w:rPr>
        <w:rFonts w:ascii="Noto Sans Symbols" w:hAnsi="Noto Sans Symbols" w:cs="Noto Sans Symbols" w:hint="default"/>
        <w:rFonts w:cs="Noto Sans Symbols"/>
      </w:rPr>
    </w:lvl>
  </w:abstractNum>
  <w:abstractNum w:abstractNumId="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bullet"/>
      <w:lvlText w:val="●"/>
      <w:lvlJc w:val="left"/>
      <w:pPr>
        <w:ind w:left="1004" w:hanging="360"/>
      </w:pPr>
      <w:rPr>
        <w:rFonts w:ascii="Noto Sans Symbols" w:hAnsi="Noto Sans Symbols" w:cs="Noto Sans Symbols" w:hint="default"/>
        <w:vertAlign w:val="baseline"/>
        <w:position w:val="0"/>
        <w:sz w:val="22"/>
        <w:sz w:val="22"/>
        <w:rFonts w:cs="Noto Sans Symbols"/>
      </w:rPr>
    </w:lvl>
    <w:lvl w:ilvl="1">
      <w:start w:val="1"/>
      <w:numFmt w:val="bullet"/>
      <w:lvlText w:val=""/>
      <w:lvlJc w:val="left"/>
      <w:pPr>
        <w:ind w:left="0" w:hanging="0"/>
      </w:pPr>
      <w:rPr>
        <w:rFonts w:ascii="OpenSymbol" w:hAnsi="OpenSymbol" w:cs="OpenSymbol" w:hint="default"/>
        <w:rFonts w:cs="OpenSymbol"/>
      </w:rPr>
    </w:lvl>
    <w:lvl w:ilvl="2">
      <w:start w:val="1"/>
      <w:numFmt w:val="bullet"/>
      <w:lvlText w:val=""/>
      <w:lvlJc w:val="left"/>
      <w:pPr>
        <w:ind w:left="0" w:hanging="0"/>
      </w:pPr>
      <w:rPr>
        <w:rFonts w:ascii="OpenSymbol" w:hAnsi="OpenSymbol" w:cs="OpenSymbol" w:hint="default"/>
        <w:rFonts w:cs="OpenSymbol"/>
      </w:rPr>
    </w:lvl>
    <w:lvl w:ilvl="3">
      <w:start w:val="1"/>
      <w:numFmt w:val="bullet"/>
      <w:lvlText w:val=""/>
      <w:lvlJc w:val="left"/>
      <w:pPr>
        <w:ind w:left="0" w:hanging="0"/>
      </w:pPr>
      <w:rPr>
        <w:rFonts w:ascii="OpenSymbol" w:hAnsi="OpenSymbol" w:cs="OpenSymbol" w:hint="default"/>
        <w:rFonts w:cs="OpenSymbol"/>
      </w:rPr>
    </w:lvl>
    <w:lvl w:ilvl="4">
      <w:start w:val="1"/>
      <w:numFmt w:val="bullet"/>
      <w:lvlText w:val=""/>
      <w:lvlJc w:val="left"/>
      <w:pPr>
        <w:ind w:left="0" w:hanging="0"/>
      </w:pPr>
      <w:rPr>
        <w:rFonts w:ascii="OpenSymbol" w:hAnsi="OpenSymbol" w:cs="OpenSymbol" w:hint="default"/>
        <w:rFonts w:cs="OpenSymbol"/>
      </w:rPr>
    </w:lvl>
    <w:lvl w:ilvl="5">
      <w:start w:val="1"/>
      <w:numFmt w:val="bullet"/>
      <w:lvlText w:val=""/>
      <w:lvlJc w:val="left"/>
      <w:pPr>
        <w:ind w:left="0" w:hanging="0"/>
      </w:pPr>
      <w:rPr>
        <w:rFonts w:ascii="OpenSymbol" w:hAnsi="OpenSymbol" w:cs="OpenSymbol" w:hint="default"/>
        <w:rFonts w:cs="OpenSymbol"/>
      </w:rPr>
    </w:lvl>
    <w:lvl w:ilvl="6">
      <w:start w:val="1"/>
      <w:numFmt w:val="bullet"/>
      <w:lvlText w:val=""/>
      <w:lvlJc w:val="left"/>
      <w:pPr>
        <w:ind w:left="0" w:hanging="0"/>
      </w:pPr>
      <w:rPr>
        <w:rFonts w:ascii="OpenSymbol" w:hAnsi="OpenSymbol" w:cs="OpenSymbol" w:hint="default"/>
        <w:rFonts w:cs="OpenSymbol"/>
      </w:rPr>
    </w:lvl>
    <w:lvl w:ilvl="7">
      <w:start w:val="1"/>
      <w:numFmt w:val="bullet"/>
      <w:lvlText w:val=""/>
      <w:lvlJc w:val="left"/>
      <w:pPr>
        <w:ind w:left="0" w:hanging="0"/>
      </w:pPr>
      <w:rPr>
        <w:rFonts w:ascii="OpenSymbol" w:hAnsi="OpenSymbol" w:cs="OpenSymbol" w:hint="default"/>
        <w:rFonts w:cs="OpenSymbol"/>
      </w:rPr>
    </w:lvl>
    <w:lvl w:ilvl="8">
      <w:start w:val="1"/>
      <w:numFmt w:val="bullet"/>
      <w:lvlText w:val=""/>
      <w:lvlJc w:val="left"/>
      <w:pPr>
        <w:ind w:left="0" w:hanging="0"/>
      </w:pPr>
      <w:rPr>
        <w:rFonts w:ascii="OpenSymbol" w:hAnsi="OpenSymbol" w:cs="OpenSymbol" w:hint="default"/>
        <w:rFonts w:cs="OpenSymbol"/>
      </w:rPr>
    </w:lvl>
  </w:abstractNum>
  <w:abstractNum w:abstractNumId="5">
    <w:lvl w:ilvl="0">
      <w:start w:val="1"/>
      <w:numFmt w:val="lowerLetter"/>
      <w:lvlText w:val="%1)"/>
      <w:lvlJc w:val="left"/>
      <w:pPr>
        <w:ind w:left="720" w:hanging="360"/>
      </w:pPr>
      <w:rPr>
        <w:vertAlign w:val="baseline"/>
        <w:position w:val="0"/>
        <w:sz w:val="22"/>
        <w:sz w:val="22"/>
      </w:rPr>
    </w:lvl>
    <w:lvl w:ilvl="1">
      <w:start w:val="1"/>
      <w:numFmt w:val="lowerLetter"/>
      <w:lvlText w:val="%2."/>
      <w:lvlJc w:val="left"/>
      <w:pPr>
        <w:ind w:left="1440" w:hanging="360"/>
      </w:pPr>
      <w:rPr>
        <w:vertAlign w:val="baseline"/>
        <w:position w:val="0"/>
        <w:sz w:val="22"/>
        <w:sz w:val="22"/>
      </w:rPr>
    </w:lvl>
    <w:lvl w:ilvl="2">
      <w:start w:val="1"/>
      <w:numFmt w:val="lowerRoman"/>
      <w:lvlText w:val="%3."/>
      <w:lvlJc w:val="right"/>
      <w:pPr>
        <w:ind w:left="2160" w:hanging="180"/>
      </w:pPr>
      <w:rPr>
        <w:vertAlign w:val="baseline"/>
        <w:position w:val="0"/>
        <w:sz w:val="22"/>
        <w:sz w:val="22"/>
      </w:rPr>
    </w:lvl>
    <w:lvl w:ilvl="3">
      <w:start w:val="1"/>
      <w:numFmt w:val="decimal"/>
      <w:lvlText w:val="%4."/>
      <w:lvlJc w:val="left"/>
      <w:pPr>
        <w:ind w:left="2880" w:hanging="360"/>
      </w:pPr>
      <w:rPr>
        <w:vertAlign w:val="baseline"/>
        <w:position w:val="0"/>
        <w:sz w:val="22"/>
        <w:sz w:val="22"/>
      </w:rPr>
    </w:lvl>
    <w:lvl w:ilvl="4">
      <w:start w:val="1"/>
      <w:numFmt w:val="lowerLetter"/>
      <w:lvlText w:val="%5."/>
      <w:lvlJc w:val="left"/>
      <w:pPr>
        <w:ind w:left="3600" w:hanging="360"/>
      </w:pPr>
      <w:rPr>
        <w:vertAlign w:val="baseline"/>
        <w:position w:val="0"/>
        <w:sz w:val="22"/>
        <w:sz w:val="22"/>
      </w:rPr>
    </w:lvl>
    <w:lvl w:ilvl="5">
      <w:start w:val="1"/>
      <w:numFmt w:val="lowerRoman"/>
      <w:lvlText w:val="%6."/>
      <w:lvlJc w:val="right"/>
      <w:pPr>
        <w:ind w:left="4320" w:hanging="180"/>
      </w:pPr>
      <w:rPr>
        <w:vertAlign w:val="baseline"/>
        <w:position w:val="0"/>
        <w:sz w:val="22"/>
        <w:sz w:val="22"/>
      </w:rPr>
    </w:lvl>
    <w:lvl w:ilvl="6">
      <w:start w:val="1"/>
      <w:numFmt w:val="decimal"/>
      <w:lvlText w:val="%7."/>
      <w:lvlJc w:val="left"/>
      <w:pPr>
        <w:ind w:left="5040" w:hanging="360"/>
      </w:pPr>
      <w:rPr>
        <w:vertAlign w:val="baseline"/>
        <w:position w:val="0"/>
        <w:sz w:val="22"/>
        <w:sz w:val="22"/>
      </w:rPr>
    </w:lvl>
    <w:lvl w:ilvl="7">
      <w:start w:val="1"/>
      <w:numFmt w:val="lowerLetter"/>
      <w:lvlText w:val="%8."/>
      <w:lvlJc w:val="left"/>
      <w:pPr>
        <w:ind w:left="5760" w:hanging="360"/>
      </w:pPr>
      <w:rPr>
        <w:vertAlign w:val="baseline"/>
        <w:position w:val="0"/>
        <w:sz w:val="22"/>
        <w:sz w:val="22"/>
      </w:rPr>
    </w:lvl>
    <w:lvl w:ilvl="8">
      <w:start w:val="1"/>
      <w:numFmt w:val="lowerRoman"/>
      <w:lvlText w:val="%9."/>
      <w:lvlJc w:val="right"/>
      <w:pPr>
        <w:ind w:left="6480" w:hanging="180"/>
      </w:pPr>
      <w:rPr>
        <w:vertAlign w:val="baseline"/>
        <w:position w:val="0"/>
        <w:sz w:val="22"/>
        <w:sz w:val="22"/>
      </w:rPr>
    </w:lvl>
  </w:abstractNum>
  <w:abstractNum w:abstractNumId="6">
    <w:lvl w:ilvl="0">
      <w:start w:val="1"/>
      <w:numFmt w:val="bullet"/>
      <w:lvlText w:val="●"/>
      <w:lvlJc w:val="left"/>
      <w:pPr>
        <w:ind w:left="1004" w:hanging="360"/>
      </w:pPr>
      <w:rPr>
        <w:rFonts w:ascii="Noto Sans Symbols" w:hAnsi="Noto Sans Symbols" w:cs="Noto Sans Symbols" w:hint="default"/>
        <w:sz w:val="22"/>
        <w:rFonts w:cs="Noto Sans Symbols"/>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7">
    <w:lvl w:ilvl="0">
      <w:start w:val="1"/>
      <w:numFmt w:val="bullet"/>
      <w:lvlText w:val=""/>
      <w:lvlJc w:val="left"/>
      <w:pPr>
        <w:ind w:left="720" w:hanging="360"/>
      </w:pPr>
      <w:rPr>
        <w:rFonts w:ascii="Wingdings" w:hAnsi="Wingdings" w:cs="Wingdings" w:hint="default"/>
        <w:sz w:val="22"/>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8">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9">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0">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1">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2">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3">
    <w:lvl w:ilvl="0">
      <w:start w:val="3"/>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4">
    <w:lvl w:ilvl="0">
      <w:start w:val="4"/>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5">
    <w:lvl w:ilvl="0">
      <w:start w:val="5"/>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3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Cs w:val="22"/>
        <w:lang w:val="es-ES" w:eastAsia="es-E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86824"/>
    <w:pPr>
      <w:widowControl/>
      <w:bidi w:val="0"/>
      <w:spacing w:lineRule="auto" w:line="276" w:before="0" w:after="200"/>
      <w:jc w:val="left"/>
    </w:pPr>
    <w:rPr>
      <w:rFonts w:ascii="Calibri" w:hAnsi="Calibri" w:eastAsia="Calibri" w:cs="Calibri"/>
      <w:color w:val="00000A"/>
      <w:kern w:val="0"/>
      <w:sz w:val="22"/>
      <w:szCs w:val="22"/>
      <w:lang w:val="es-ES" w:eastAsia="es-ES" w:bidi="ar-SA"/>
    </w:rPr>
  </w:style>
  <w:style w:type="paragraph" w:styleId="Ttulo1">
    <w:name w:val="Heading 1"/>
    <w:basedOn w:val="Normal"/>
    <w:next w:val="Normal"/>
    <w:qFormat/>
    <w:pPr>
      <w:keepNext w:val="true"/>
      <w:keepLines/>
      <w:spacing w:before="480" w:after="120"/>
      <w:outlineLvl w:val="0"/>
    </w:pPr>
    <w:rPr>
      <w:b/>
      <w:sz w:val="48"/>
      <w:szCs w:val="48"/>
    </w:rPr>
  </w:style>
  <w:style w:type="paragraph" w:styleId="Ttulo2">
    <w:name w:val="Heading 2"/>
    <w:basedOn w:val="Normal"/>
    <w:next w:val="Normal"/>
    <w:qFormat/>
    <w:pPr>
      <w:keepNext w:val="true"/>
      <w:keepLines/>
      <w:spacing w:before="360" w:after="80"/>
      <w:outlineLvl w:val="1"/>
    </w:pPr>
    <w:rPr>
      <w:b/>
      <w:sz w:val="36"/>
      <w:szCs w:val="36"/>
    </w:rPr>
  </w:style>
  <w:style w:type="paragraph" w:styleId="Ttulo3">
    <w:name w:val="Heading 3"/>
    <w:basedOn w:val="Normal"/>
    <w:next w:val="Normal"/>
    <w:qFormat/>
    <w:pPr>
      <w:keepNext w:val="true"/>
      <w:keepLines/>
      <w:spacing w:before="280" w:after="80"/>
      <w:outlineLvl w:val="2"/>
    </w:pPr>
    <w:rPr>
      <w:b/>
      <w:sz w:val="28"/>
      <w:szCs w:val="28"/>
    </w:rPr>
  </w:style>
  <w:style w:type="paragraph" w:styleId="Ttulo4">
    <w:name w:val="Heading 4"/>
    <w:basedOn w:val="Normal"/>
    <w:next w:val="Normal"/>
    <w:qFormat/>
    <w:pPr>
      <w:keepNext w:val="true"/>
      <w:keepLines/>
      <w:spacing w:before="240" w:after="40"/>
      <w:outlineLvl w:val="3"/>
    </w:pPr>
    <w:rPr>
      <w:b/>
      <w:sz w:val="24"/>
      <w:szCs w:val="24"/>
    </w:rPr>
  </w:style>
  <w:style w:type="paragraph" w:styleId="Ttulo5">
    <w:name w:val="Heading 5"/>
    <w:basedOn w:val="Normal"/>
    <w:next w:val="Normal"/>
    <w:qFormat/>
    <w:pPr>
      <w:keepNext w:val="true"/>
      <w:keepLines/>
      <w:spacing w:before="220" w:after="40"/>
      <w:outlineLvl w:val="4"/>
    </w:pPr>
    <w:rPr>
      <w:b/>
    </w:rPr>
  </w:style>
  <w:style w:type="paragraph" w:styleId="Ttulo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87523a"/>
    <w:rPr/>
  </w:style>
  <w:style w:type="character" w:styleId="PiedepginaCar" w:customStyle="1">
    <w:name w:val="Pie de página Car"/>
    <w:basedOn w:val="DefaultParagraphFont"/>
    <w:link w:val="Piedepgina"/>
    <w:uiPriority w:val="99"/>
    <w:qFormat/>
    <w:rsid w:val="0087523a"/>
    <w:rPr/>
  </w:style>
  <w:style w:type="character" w:styleId="Pagenumber">
    <w:name w:val="page number"/>
    <w:basedOn w:val="DefaultParagraphFont"/>
    <w:uiPriority w:val="99"/>
    <w:qFormat/>
    <w:rsid w:val="009c33ec"/>
    <w:rPr/>
  </w:style>
  <w:style w:type="character" w:styleId="DC1Car" w:customStyle="1">
    <w:name w:val="DC1 Car"/>
    <w:basedOn w:val="DefaultParagraphFont"/>
    <w:link w:val="DC1"/>
    <w:qFormat/>
    <w:rsid w:val="00e77f4c"/>
    <w:rPr>
      <w:rFonts w:ascii="Calibri" w:hAnsi="Calibri" w:eastAsia="Calibri" w:cs="" w:asciiTheme="minorHAnsi" w:cstheme="minorBidi" w:eastAsiaTheme="minorHAnsi" w:hAnsiTheme="minorHAnsi"/>
      <w:color w:val="auto"/>
      <w:sz w:val="18"/>
      <w:szCs w:val="18"/>
      <w:lang w:eastAsia="en-US"/>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Lucida Sans"/>
    </w:rPr>
  </w:style>
  <w:style w:type="paragraph" w:styleId="Titular">
    <w:name w:val="Title"/>
    <w:basedOn w:val="Normal"/>
    <w:next w:val="Cuerpodetexto"/>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Cabeceraypie">
    <w:name w:val="Cabecera y pie"/>
    <w:basedOn w:val="Normal"/>
    <w:qFormat/>
    <w:pPr/>
    <w:rPr/>
  </w:style>
  <w:style w:type="paragraph" w:styleId="Cabecera">
    <w:name w:val="Header"/>
    <w:basedOn w:val="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Subttulo">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DC1" w:customStyle="1">
    <w:name w:val="DC1"/>
    <w:basedOn w:val="Lista"/>
    <w:link w:val="DC1Car"/>
    <w:autoRedefine/>
    <w:qFormat/>
    <w:rsid w:val="00e77f4c"/>
    <w:pPr>
      <w:tabs>
        <w:tab w:val="clear" w:pos="720"/>
        <w:tab w:val="left" w:pos="227" w:leader="none"/>
      </w:tabs>
      <w:spacing w:lineRule="auto" w:line="240" w:before="0" w:after="0"/>
      <w:contextualSpacing/>
      <w:jc w:val="center"/>
    </w:pPr>
    <w:rPr>
      <w:rFonts w:ascii="Calibri" w:hAnsi="Calibri" w:eastAsia="Calibri" w:cs="" w:asciiTheme="minorHAnsi" w:cstheme="minorBidi" w:eastAsiaTheme="minorHAnsi" w:hAnsiTheme="minorHAnsi"/>
      <w:color w:val="auto"/>
      <w:sz w:val="18"/>
      <w:szCs w:val="18"/>
      <w:lang w:eastAsia="en-US"/>
    </w:rPr>
  </w:style>
  <w:style w:type="paragraph" w:styleId="NormalWeb">
    <w:name w:val="Normal (Web)"/>
    <w:basedOn w:val="Normal"/>
    <w:uiPriority w:val="99"/>
    <w:unhideWhenUsed/>
    <w:qFormat/>
    <w:rsid w:val="002a7308"/>
    <w:pPr>
      <w:spacing w:lineRule="auto" w:line="240" w:beforeAutospacing="1" w:afterAutospacing="1"/>
    </w:pPr>
    <w:rPr>
      <w:rFonts w:ascii="Times New Roman" w:hAnsi="Times New Roman" w:eastAsia="Times New Roman" w:cs="Times New Roman"/>
      <w:color w:val="auto"/>
      <w:sz w:val="24"/>
      <w:szCs w:val="24"/>
    </w:rPr>
  </w:style>
  <w:style w:type="paragraph" w:styleId="Default" w:customStyle="1">
    <w:name w:val="Default"/>
    <w:qFormat/>
    <w:rsid w:val="00e04b5f"/>
    <w:pPr>
      <w:widowControl/>
      <w:bidi w:val="0"/>
      <w:spacing w:lineRule="auto" w:line="240" w:before="0" w:after="0"/>
      <w:jc w:val="left"/>
    </w:pPr>
    <w:rPr>
      <w:rFonts w:ascii="Calibri" w:hAnsi="Calibri" w:eastAsia="Calibri" w:cs="Calibri"/>
      <w:color w:val="000000"/>
      <w:kern w:val="0"/>
      <w:sz w:val="24"/>
      <w:szCs w:val="24"/>
      <w:lang w:val="es-ES" w:eastAsia="es-ES" w:bidi="ar-SA"/>
    </w:rPr>
  </w:style>
  <w:style w:type="paragraph" w:styleId="ListParagraph">
    <w:name w:val="List Paragraph"/>
    <w:basedOn w:val="Normal"/>
    <w:uiPriority w:val="34"/>
    <w:qFormat/>
    <w:rsid w:val="005d47f9"/>
    <w:pPr>
      <w:spacing w:before="0" w:after="200"/>
      <w:ind w:left="720" w:hanging="0"/>
      <w:contextualSpacing/>
    </w:pPr>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00000A"/>
      <w:kern w:val="0"/>
      <w:sz w:val="22"/>
      <w:szCs w:val="22"/>
      <w:lang w:val="es-ES" w:eastAsia="zh-CN" w:bidi="hi-IN"/>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aconcuadrcula">
    <w:name w:val="Table Grid"/>
    <w:basedOn w:val="Tablanormal"/>
    <w:uiPriority w:val="39"/>
    <w:rsid w:val="00b558b2"/>
    <w:pPr>
      <w:spacing w:after="0" w:line="240" w:lineRule="auto"/>
    </w:pPr>
    <w:rPr>
      <w:rFonts w:asciiTheme="minorHAnsi" w:hAnsiTheme="minorHAnsi" w:eastAsiaTheme="minorHAnsi" w:cstheme="minorBidi"/>
      <w:lang w:eastAsia="en-US"/>
      <w:color w:val="aut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 Id="rId9" Type="http://schemas.openxmlformats.org/officeDocument/2006/relationships/customXml" Target="../customXml/item2.xml"/>
</Relationships>
</file>

<file path=word/_rels/footer1.xml.rels><?xml version="1.0" encoding="UTF-8"?>
<Relationships xmlns="http://schemas.openxmlformats.org/package/2006/relationships"><Relationship Id="rId1" Type="http://schemas.openxmlformats.org/officeDocument/2006/relationships/image" Target="media/image2.jpe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go:gDocsCustomXmlDataStorage xmlns:go="http://customooxmlschemas.google.com/" xmlns:r="http://schemas.openxmlformats.org/officeDocument/2006/relationships">
  <go:docsCustomData roundtripDataSignature="AMtx7mgEfqukn5nydvjSr8kdn2b2u3aZLw==">AMUW2mUcjrRn44Aw1gL5cXYhKi0h1eOitUtObbg4TJU3qnLZcfPUuiSgavXWto1C8i7qUKg5UOK5NB3FZlDOi0RCaEjL5UCJberTUSla1osJWqTwwE0a2N87N6+Ffz9ps651iiwsTD/J</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496152F-7D36-491B-BAC0-080329D41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Application>LibreOffice/6.3.3.2$Windows_X86_64 LibreOffice_project/a64200df03143b798afd1ec74a12ab50359878ed</Application>
  <Pages>24</Pages>
  <Words>9679</Words>
  <Characters>53165</Characters>
  <CharactersWithSpaces>62620</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2024-03-10T18:48:00Z</dcterms:created>
  <dc:creator>Esther</dc:creator>
  <dc:description/>
  <dc:language>es-ES</dc:language>
  <cp:lastModifiedBy/>
  <dcterms:modified xsi:type="dcterms:W3CDTF">2025-10-15T13:09:01Z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