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footer3.xml" ContentType="application/vnd.openxmlformats-officedocument.wordprocessingml.footer+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footer4.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1.xml.rels" ContentType="application/vnd.openxmlformats-package.relationships+xml"/>
  <Override PartName="/word/_rels/header2.xml.rels" ContentType="application/vnd.openxmlformats-package.relationships+xml"/>
  <Override PartName="/word/_rels/header4.xml.rels" ContentType="application/vnd.openxmlformats-package.relationships+xml"/>
  <Override PartName="/word/_rels/header5.xml.rels" ContentType="application/vnd.openxmlformats-package.relationships+xml"/>
  <Override PartName="/word/_rels/header6.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1"/>
        <w:keepNext w:val="false"/>
        <w:keepLines w:val="false"/>
        <w:pageBreakBefore w:val="false"/>
        <w:widowControl/>
        <w:pBdr/>
        <w:shd w:val="clear" w:fill="auto"/>
        <w:spacing w:lineRule="auto" w:line="276" w:before="0" w:after="200"/>
        <w:ind w:left="0" w:right="0" w:hanging="0"/>
        <w:jc w:val="left"/>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mbria" w:cs="Cambria" w:ascii="Cambria" w:hAnsi="Cambria"/>
          <w:b/>
          <w:i w:val="false"/>
          <w:caps w:val="false"/>
          <w:smallCaps w:val="false"/>
          <w:strike w:val="false"/>
          <w:dstrike w:val="false"/>
          <w:color w:val="00000A"/>
          <w:position w:val="0"/>
          <w:sz w:val="22"/>
          <w:sz w:val="22"/>
          <w:szCs w:val="22"/>
          <w:u w:val="singl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left"/>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mbria" w:cs="Cambria" w:ascii="Cambria" w:hAnsi="Cambria"/>
          <w:b/>
          <w:i w:val="false"/>
          <w:caps w:val="false"/>
          <w:smallCaps w:val="false"/>
          <w:strike w:val="false"/>
          <w:dstrike w:val="false"/>
          <w:color w:val="00000A"/>
          <w:position w:val="0"/>
          <w:sz w:val="22"/>
          <w:sz w:val="22"/>
          <w:szCs w:val="22"/>
          <w:u w:val="singl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left"/>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mbria" w:cs="Cambria" w:ascii="Cambria" w:hAnsi="Cambria"/>
          <w:b/>
          <w:i w:val="false"/>
          <w:caps w:val="false"/>
          <w:smallCaps w:val="false"/>
          <w:strike w:val="false"/>
          <w:dstrike w:val="false"/>
          <w:color w:val="00000A"/>
          <w:position w:val="0"/>
          <w:sz w:val="22"/>
          <w:sz w:val="22"/>
          <w:szCs w:val="22"/>
          <w:u w:val="singl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left"/>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mbria" w:cs="Cambria" w:ascii="Cambria" w:hAnsi="Cambria"/>
          <w:b/>
          <w:i w:val="false"/>
          <w:caps w:val="false"/>
          <w:smallCaps w:val="false"/>
          <w:strike w:val="false"/>
          <w:dstrike w:val="false"/>
          <w:color w:val="00000A"/>
          <w:position w:val="0"/>
          <w:sz w:val="22"/>
          <w:sz w:val="22"/>
          <w:szCs w:val="22"/>
          <w:u w:val="singl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left"/>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mbria" w:cs="Cambria" w:ascii="Cambria" w:hAnsi="Cambria"/>
          <w:b/>
          <w:i w:val="false"/>
          <w:caps w:val="false"/>
          <w:smallCaps w:val="false"/>
          <w:strike w:val="false"/>
          <w:dstrike w:val="false"/>
          <w:color w:val="00000A"/>
          <w:position w:val="0"/>
          <w:sz w:val="22"/>
          <w:sz w:val="22"/>
          <w:szCs w:val="22"/>
          <w:u w:val="singl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left"/>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mbria" w:cs="Cambria" w:ascii="Cambria" w:hAnsi="Cambria"/>
          <w:b/>
          <w:i w:val="false"/>
          <w:caps w:val="false"/>
          <w:smallCaps w:val="false"/>
          <w:strike w:val="false"/>
          <w:dstrike w:val="false"/>
          <w:color w:val="00000A"/>
          <w:position w:val="0"/>
          <w:sz w:val="22"/>
          <w:sz w:val="22"/>
          <w:szCs w:val="22"/>
          <w:u w:val="singl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left"/>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mbria" w:cs="Cambria" w:ascii="Cambria" w:hAnsi="Cambria"/>
          <w:b/>
          <w:i w:val="false"/>
          <w:caps w:val="false"/>
          <w:smallCaps w:val="false"/>
          <w:strike w:val="false"/>
          <w:dstrike w:val="false"/>
          <w:color w:val="00000A"/>
          <w:position w:val="0"/>
          <w:sz w:val="22"/>
          <w:sz w:val="22"/>
          <w:szCs w:val="22"/>
          <w:u w:val="singl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left"/>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mbria" w:cs="Cambria" w:ascii="Cambria" w:hAnsi="Cambria"/>
          <w:b/>
          <w:i w:val="false"/>
          <w:caps w:val="false"/>
          <w:smallCaps w:val="false"/>
          <w:strike w:val="false"/>
          <w:dstrike w:val="false"/>
          <w:color w:val="00000A"/>
          <w:position w:val="0"/>
          <w:sz w:val="22"/>
          <w:sz w:val="22"/>
          <w:szCs w:val="22"/>
          <w:u w:val="singl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left"/>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mbria" w:cs="Cambria" w:ascii="Cambria" w:hAnsi="Cambria"/>
          <w:b/>
          <w:i w:val="false"/>
          <w:caps w:val="false"/>
          <w:smallCaps w:val="false"/>
          <w:strike w:val="false"/>
          <w:dstrike w:val="false"/>
          <w:color w:val="00000A"/>
          <w:position w:val="0"/>
          <w:sz w:val="22"/>
          <w:sz w:val="22"/>
          <w:szCs w:val="22"/>
          <w:u w:val="single"/>
          <w:shd w:fill="auto" w:val="clear"/>
          <w:vertAlign w:val="baseline"/>
        </w:rPr>
      </w:r>
    </w:p>
    <w:tbl>
      <w:tblPr>
        <w:tblStyle w:val="Table1"/>
        <w:tblW w:w="8478" w:type="dxa"/>
        <w:jc w:val="left"/>
        <w:tblInd w:w="0" w:type="dxa"/>
        <w:tblCellMar>
          <w:top w:w="0" w:type="dxa"/>
          <w:left w:w="108" w:type="dxa"/>
          <w:bottom w:w="0" w:type="dxa"/>
          <w:right w:w="108" w:type="dxa"/>
        </w:tblCellMar>
        <w:tblLook w:val="0400"/>
      </w:tblPr>
      <w:tblGrid>
        <w:gridCol w:w="3225"/>
        <w:gridCol w:w="5252"/>
      </w:tblGrid>
      <w:tr>
        <w:trPr>
          <w:trHeight w:val="2470" w:hRule="atLeast"/>
        </w:trPr>
        <w:tc>
          <w:tcPr>
            <w:tcW w:w="3225" w:type="dxa"/>
            <w:tcBorders>
              <w:top w:val="single" w:sz="8" w:space="0" w:color="4F81BD"/>
              <w:bottom w:val="single" w:sz="8" w:space="0" w:color="4F81BD"/>
            </w:tcBorders>
            <w:shd w:fill="548DD4" w:val="clear"/>
          </w:tcPr>
          <w:p>
            <w:pPr>
              <w:pStyle w:val="Normal1"/>
              <w:keepNext w:val="false"/>
              <w:keepLines w:val="false"/>
              <w:widowControl w:val="false"/>
              <w:pBdr/>
              <w:shd w:val="clear" w:fill="auto"/>
              <w:spacing w:lineRule="auto" w:line="276" w:before="0" w:after="200"/>
              <w:ind w:left="0" w:right="0" w:hanging="0"/>
              <w:jc w:val="center"/>
              <w:rPr>
                <w:rFonts w:ascii="Calibri" w:hAnsi="Calibri" w:eastAsia="Calibri" w:cs="Calibri"/>
                <w:b w:val="false"/>
                <w:b w:val="false"/>
                <w:i w:val="false"/>
                <w:i w:val="false"/>
                <w:caps w:val="false"/>
                <w:smallCaps w:val="false"/>
                <w:strike w:val="false"/>
                <w:dstrike w:val="false"/>
                <w:color w:val="FFFFFF"/>
                <w:position w:val="0"/>
                <w:sz w:val="22"/>
                <w:sz w:val="28"/>
                <w:szCs w:val="28"/>
                <w:u w:val="none"/>
                <w:vertAlign w:val="baseline"/>
              </w:rPr>
            </w:pPr>
            <w:r>
              <w:rPr>
                <w:rFonts w:eastAsia="Cambria" w:cs="Cambria" w:ascii="Cambria" w:hAnsi="Cambria"/>
                <w:b w:val="false"/>
                <w:i w:val="false"/>
                <w:caps w:val="false"/>
                <w:smallCaps w:val="false"/>
                <w:strike w:val="false"/>
                <w:dstrike w:val="false"/>
                <w:color w:val="FFFFFF"/>
                <w:position w:val="0"/>
                <w:sz w:val="22"/>
                <w:sz w:val="22"/>
                <w:szCs w:val="22"/>
                <w:u w:val="none"/>
                <w:shd w:fill="auto" w:val="clear"/>
                <w:vertAlign w:val="baseline"/>
              </w:rPr>
              <w:t xml:space="preserve">IES LA PUEBLA DE  </w:t>
            </w:r>
          </w:p>
          <w:p>
            <w:pPr>
              <w:pStyle w:val="Normal1"/>
              <w:keepNext w:val="false"/>
              <w:keepLines w:val="false"/>
              <w:widowControl w:val="false"/>
              <w:pBdr/>
              <w:shd w:val="clear" w:fill="auto"/>
              <w:spacing w:lineRule="auto" w:line="240" w:before="0" w:after="200"/>
              <w:ind w:left="0" w:right="0" w:hanging="0"/>
              <w:jc w:val="center"/>
              <w:rPr>
                <w:rFonts w:ascii="Calibri" w:hAnsi="Calibri" w:eastAsia="Calibri" w:cs="Calibri"/>
                <w:b w:val="false"/>
                <w:b w:val="false"/>
                <w:i w:val="false"/>
                <w:i w:val="false"/>
                <w:caps w:val="false"/>
                <w:smallCaps w:val="false"/>
                <w:strike w:val="false"/>
                <w:dstrike w:val="false"/>
                <w:color w:val="00000A"/>
                <w:position w:val="0"/>
                <w:sz w:val="22"/>
                <w:sz w:val="22"/>
                <w:szCs w:val="22"/>
                <w:u w:val="single"/>
                <w:vertAlign w:val="baseline"/>
              </w:rPr>
            </w:pPr>
            <w:r>
              <w:rPr>
                <w:rFonts w:eastAsia="Cambria" w:cs="Cambria" w:ascii="Cambria" w:hAnsi="Cambria"/>
                <w:b w:val="false"/>
                <w:i w:val="false"/>
                <w:caps w:val="false"/>
                <w:smallCaps w:val="false"/>
                <w:strike w:val="false"/>
                <w:dstrike w:val="false"/>
                <w:color w:val="FFFFFF"/>
                <w:position w:val="0"/>
                <w:sz w:val="22"/>
                <w:sz w:val="22"/>
                <w:szCs w:val="22"/>
                <w:u w:val="none"/>
                <w:shd w:fill="auto" w:val="clear"/>
                <w:vertAlign w:val="baseline"/>
              </w:rPr>
              <w:t xml:space="preserve">             </w:t>
            </w:r>
            <w:r>
              <w:rPr>
                <w:rFonts w:eastAsia="Cambria" w:cs="Cambria" w:ascii="Cambria" w:hAnsi="Cambria"/>
                <w:b w:val="false"/>
                <w:i w:val="false"/>
                <w:caps w:val="false"/>
                <w:smallCaps w:val="false"/>
                <w:strike w:val="false"/>
                <w:dstrike w:val="false"/>
                <w:color w:val="FFFFFF"/>
                <w:position w:val="0"/>
                <w:sz w:val="22"/>
                <w:sz w:val="22"/>
                <w:szCs w:val="22"/>
                <w:u w:val="none"/>
                <w:shd w:fill="auto" w:val="clear"/>
                <w:vertAlign w:val="baseline"/>
              </w:rPr>
              <w:t>ALFINDÉN</w:t>
            </w:r>
          </w:p>
        </w:tc>
        <w:tc>
          <w:tcPr>
            <w:tcW w:w="5252" w:type="dxa"/>
            <w:tcBorders>
              <w:top w:val="single" w:sz="8" w:space="0" w:color="4F81BD"/>
              <w:bottom w:val="single" w:sz="8" w:space="0" w:color="4F81BD"/>
            </w:tcBorders>
            <w:shd w:fill="auto" w:val="clear"/>
          </w:tcPr>
          <w:p>
            <w:pPr>
              <w:pStyle w:val="Normal1"/>
              <w:keepNext w:val="false"/>
              <w:keepLines w:val="false"/>
              <w:widowControl w:val="false"/>
              <w:pBdr/>
              <w:shd w:val="clear" w:fill="auto"/>
              <w:tabs>
                <w:tab w:val="clear" w:pos="720"/>
                <w:tab w:val="center" w:pos="4252" w:leader="none"/>
                <w:tab w:val="right" w:pos="8504" w:leader="none"/>
              </w:tabs>
              <w:spacing w:lineRule="auto" w:line="276" w:before="0" w:after="200"/>
              <w:ind w:left="0" w:right="0" w:hanging="0"/>
              <w:jc w:val="left"/>
              <w:rPr>
                <w:rFonts w:ascii="Calibri" w:hAnsi="Calibri" w:eastAsia="Calibri" w:cs="Calibri"/>
                <w:b w:val="false"/>
                <w:b w:val="false"/>
                <w:i w:val="false"/>
                <w:i w:val="false"/>
                <w:caps w:val="false"/>
                <w:smallCaps w:val="false"/>
                <w:strike w:val="false"/>
                <w:dstrike w:val="false"/>
                <w:color w:val="1F497D"/>
                <w:position w:val="0"/>
                <w:sz w:val="22"/>
                <w:sz w:val="28"/>
                <w:szCs w:val="28"/>
                <w:u w:val="none"/>
                <w:vertAlign w:val="baseline"/>
              </w:rPr>
            </w:pPr>
            <w:r>
              <w:rPr>
                <w:rFonts w:eastAsia="Cambria" w:cs="Cambria" w:ascii="Cambria" w:hAnsi="Cambria"/>
                <w:b w:val="false"/>
                <w:i w:val="false"/>
                <w:caps w:val="false"/>
                <w:smallCaps w:val="false"/>
                <w:strike w:val="false"/>
                <w:dstrike w:val="false"/>
                <w:color w:val="1F497D"/>
                <w:position w:val="0"/>
                <w:sz w:val="22"/>
                <w:sz w:val="22"/>
                <w:szCs w:val="22"/>
                <w:u w:val="none"/>
                <w:shd w:fill="auto" w:val="clear"/>
                <w:vertAlign w:val="baseline"/>
              </w:rPr>
              <w:t>PROGRAMACIÓN DIDÁCTICA DE FÍSICA Y QUÍMICA</w:t>
            </w:r>
          </w:p>
          <w:p>
            <w:pPr>
              <w:pStyle w:val="Normal1"/>
              <w:keepNext w:val="false"/>
              <w:keepLines w:val="false"/>
              <w:widowControl w:val="false"/>
              <w:pBdr/>
              <w:shd w:val="clear" w:fill="auto"/>
              <w:tabs>
                <w:tab w:val="clear" w:pos="720"/>
                <w:tab w:val="center" w:pos="4252" w:leader="none"/>
                <w:tab w:val="right" w:pos="8504" w:leader="none"/>
              </w:tabs>
              <w:spacing w:lineRule="auto" w:line="276" w:before="0" w:after="200"/>
              <w:ind w:left="0" w:right="0" w:hanging="0"/>
              <w:jc w:val="left"/>
              <w:rPr>
                <w:rFonts w:ascii="Cambria" w:hAnsi="Cambria" w:eastAsia="Cambria" w:cs="Cambria"/>
                <w:b w:val="false"/>
                <w:b w:val="false"/>
                <w:i w:val="false"/>
                <w:i w:val="false"/>
                <w:caps w:val="false"/>
                <w:smallCaps w:val="false"/>
                <w:strike w:val="false"/>
                <w:dstrike w:val="false"/>
                <w:color w:val="1F497D"/>
                <w:position w:val="0"/>
                <w:sz w:val="22"/>
                <w:sz w:val="22"/>
                <w:szCs w:val="22"/>
                <w:u w:val="none"/>
                <w:vertAlign w:val="baseline"/>
              </w:rPr>
            </w:pPr>
            <w:r>
              <w:rPr>
                <w:rFonts w:eastAsia="Cambria" w:cs="Cambria" w:ascii="Cambria" w:hAnsi="Cambria"/>
                <w:b w:val="false"/>
                <w:i w:val="false"/>
                <w:caps w:val="false"/>
                <w:smallCaps w:val="false"/>
                <w:strike w:val="false"/>
                <w:dstrike w:val="false"/>
                <w:color w:val="1F497D"/>
                <w:position w:val="0"/>
                <w:sz w:val="22"/>
                <w:sz w:val="22"/>
                <w:szCs w:val="22"/>
                <w:u w:val="none"/>
                <w:shd w:fill="auto" w:val="clear"/>
                <w:vertAlign w:val="baseline"/>
              </w:rPr>
            </w:r>
          </w:p>
          <w:p>
            <w:pPr>
              <w:pStyle w:val="Normal1"/>
              <w:keepNext w:val="false"/>
              <w:keepLines w:val="false"/>
              <w:widowControl w:val="false"/>
              <w:pBdr/>
              <w:shd w:val="clear" w:fill="auto"/>
              <w:tabs>
                <w:tab w:val="clear" w:pos="720"/>
                <w:tab w:val="center" w:pos="4252" w:leader="none"/>
                <w:tab w:val="right" w:pos="8504" w:leader="none"/>
              </w:tabs>
              <w:spacing w:lineRule="auto" w:line="276" w:before="0" w:after="200"/>
              <w:ind w:left="0" w:right="0" w:hanging="0"/>
              <w:jc w:val="left"/>
              <w:rPr>
                <w:rFonts w:ascii="Calibri" w:hAnsi="Calibri" w:eastAsia="Calibri" w:cs="Calibri"/>
                <w:b w:val="false"/>
                <w:b w:val="false"/>
                <w:i w:val="false"/>
                <w:i w:val="false"/>
                <w:caps w:val="false"/>
                <w:smallCaps w:val="false"/>
                <w:strike w:val="false"/>
                <w:dstrike w:val="false"/>
                <w:color w:val="1F497D"/>
                <w:position w:val="0"/>
                <w:sz w:val="22"/>
                <w:sz w:val="22"/>
                <w:szCs w:val="22"/>
                <w:u w:val="none"/>
                <w:vertAlign w:val="baseline"/>
              </w:rPr>
            </w:pPr>
            <w:r>
              <w:rPr>
                <w:rFonts w:eastAsia="Cambria" w:cs="Cambria" w:ascii="Cambria" w:hAnsi="Cambria"/>
                <w:b w:val="false"/>
                <w:i w:val="false"/>
                <w:caps w:val="false"/>
                <w:smallCaps w:val="false"/>
                <w:strike w:val="false"/>
                <w:dstrike w:val="false"/>
                <w:color w:val="1F497D"/>
                <w:position w:val="0"/>
                <w:sz w:val="22"/>
                <w:sz w:val="22"/>
                <w:szCs w:val="22"/>
                <w:u w:val="none"/>
                <w:shd w:fill="auto" w:val="clear"/>
                <w:vertAlign w:val="baseline"/>
              </w:rPr>
              <w:t>Segundo curso de educación secundaria obligatoria</w:t>
            </w:r>
          </w:p>
          <w:p>
            <w:pPr>
              <w:pStyle w:val="Normal1"/>
              <w:keepNext w:val="false"/>
              <w:keepLines w:val="false"/>
              <w:widowControl w:val="false"/>
              <w:pBdr/>
              <w:shd w:val="clear" w:fill="auto"/>
              <w:tabs>
                <w:tab w:val="clear" w:pos="720"/>
                <w:tab w:val="center" w:pos="4252" w:leader="none"/>
                <w:tab w:val="right" w:pos="8504" w:leader="none"/>
              </w:tabs>
              <w:spacing w:lineRule="auto" w:line="276" w:before="0" w:after="200"/>
              <w:ind w:left="0" w:right="0" w:hanging="0"/>
              <w:jc w:val="left"/>
              <w:rPr>
                <w:rFonts w:ascii="Cambria" w:hAnsi="Cambria" w:eastAsia="Cambria" w:cs="Cambria"/>
                <w:b w:val="false"/>
                <w:b w:val="false"/>
                <w:i w:val="false"/>
                <w:i w:val="false"/>
                <w:caps w:val="false"/>
                <w:smallCaps w:val="false"/>
                <w:strike w:val="false"/>
                <w:dstrike w:val="false"/>
                <w:color w:val="1F497D"/>
                <w:position w:val="0"/>
                <w:sz w:val="22"/>
                <w:sz w:val="22"/>
                <w:szCs w:val="22"/>
                <w:u w:val="none"/>
                <w:vertAlign w:val="baseline"/>
              </w:rPr>
            </w:pPr>
            <w:r>
              <w:rPr>
                <w:rFonts w:eastAsia="Cambria" w:cs="Cambria" w:ascii="Cambria" w:hAnsi="Cambria"/>
                <w:b w:val="false"/>
                <w:i w:val="false"/>
                <w:caps w:val="false"/>
                <w:smallCaps w:val="false"/>
                <w:strike w:val="false"/>
                <w:dstrike w:val="false"/>
                <w:color w:val="1F497D"/>
                <w:position w:val="0"/>
                <w:sz w:val="22"/>
                <w:sz w:val="22"/>
                <w:szCs w:val="22"/>
                <w:u w:val="none"/>
                <w:shd w:fill="auto" w:val="clear"/>
                <w:vertAlign w:val="baseline"/>
              </w:rPr>
            </w:r>
          </w:p>
          <w:p>
            <w:pPr>
              <w:pStyle w:val="Normal1"/>
              <w:keepNext w:val="false"/>
              <w:keepLines w:val="false"/>
              <w:widowControl w:val="false"/>
              <w:pBdr/>
              <w:shd w:val="clear" w:fill="auto"/>
              <w:tabs>
                <w:tab w:val="clear" w:pos="720"/>
                <w:tab w:val="center" w:pos="4252" w:leader="none"/>
                <w:tab w:val="right" w:pos="8504" w:leader="none"/>
              </w:tabs>
              <w:spacing w:lineRule="auto" w:line="276" w:before="0" w:after="200"/>
              <w:ind w:left="0" w:right="0" w:hanging="0"/>
              <w:jc w:val="left"/>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bookmarkStart w:id="0" w:name="_heading=h.gjdgxs"/>
            <w:bookmarkEnd w:id="0"/>
            <w:r>
              <w:rPr>
                <w:rFonts w:eastAsia="Cambria" w:cs="Cambria" w:ascii="Cambria" w:hAnsi="Cambria"/>
                <w:b w:val="false"/>
                <w:i w:val="false"/>
                <w:caps w:val="false"/>
                <w:smallCaps w:val="false"/>
                <w:strike w:val="false"/>
                <w:dstrike w:val="false"/>
                <w:color w:val="1F497D"/>
                <w:position w:val="0"/>
                <w:sz w:val="22"/>
                <w:sz w:val="22"/>
                <w:szCs w:val="22"/>
                <w:u w:val="none"/>
                <w:shd w:fill="auto" w:val="clear"/>
                <w:vertAlign w:val="baseline"/>
              </w:rPr>
              <w:t>CURSO 2025-2026</w:t>
            </w:r>
          </w:p>
          <w:p>
            <w:pPr>
              <w:pStyle w:val="Normal1"/>
              <w:keepNext w:val="false"/>
              <w:keepLines w:val="false"/>
              <w:widowControl w:val="false"/>
              <w:pBdr/>
              <w:shd w:val="clear" w:fill="auto"/>
              <w:tabs>
                <w:tab w:val="clear" w:pos="720"/>
                <w:tab w:val="center" w:pos="4252" w:leader="none"/>
                <w:tab w:val="right" w:pos="8504" w:leader="none"/>
              </w:tabs>
              <w:spacing w:lineRule="auto" w:line="276" w:before="0" w:after="20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mbria" w:cs="Cambria" w:ascii="Cambria" w:hAnsi="Cambria"/>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widowControl w:val="false"/>
              <w:pBdr/>
              <w:shd w:val="clear" w:fill="auto"/>
              <w:tabs>
                <w:tab w:val="clear" w:pos="720"/>
                <w:tab w:val="center" w:pos="4252" w:leader="none"/>
                <w:tab w:val="right" w:pos="8504" w:leader="none"/>
              </w:tabs>
              <w:spacing w:lineRule="auto" w:line="276" w:before="0" w:after="20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mbria" w:cs="Cambria" w:ascii="Cambria" w:hAnsi="Cambria"/>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widowControl w:val="false"/>
              <w:pBdr/>
              <w:shd w:val="clear" w:fill="auto"/>
              <w:tabs>
                <w:tab w:val="clear" w:pos="720"/>
                <w:tab w:val="center" w:pos="4252" w:leader="none"/>
                <w:tab w:val="right" w:pos="8504" w:leader="none"/>
              </w:tabs>
              <w:spacing w:lineRule="auto" w:line="276" w:before="0" w:after="20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mbria" w:cs="Cambria" w:ascii="Cambria" w:hAnsi="Cambria"/>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widowControl w:val="false"/>
              <w:pBdr/>
              <w:shd w:val="clear" w:fill="auto"/>
              <w:tabs>
                <w:tab w:val="clear" w:pos="720"/>
                <w:tab w:val="center" w:pos="4252" w:leader="none"/>
                <w:tab w:val="right" w:pos="8504" w:leader="none"/>
              </w:tabs>
              <w:spacing w:lineRule="auto" w:line="276" w:before="0" w:after="20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mbria" w:cs="Cambria" w:ascii="Cambria" w:hAnsi="Cambria"/>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widowControl w:val="false"/>
              <w:pBdr/>
              <w:shd w:val="clear" w:fill="auto"/>
              <w:tabs>
                <w:tab w:val="clear" w:pos="720"/>
                <w:tab w:val="center" w:pos="4252" w:leader="none"/>
                <w:tab w:val="right" w:pos="8504" w:leader="none"/>
              </w:tabs>
              <w:spacing w:lineRule="auto" w:line="276" w:before="0" w:after="20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mbria" w:cs="Cambria" w:ascii="Cambria" w:hAnsi="Cambria"/>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widowControl w:val="false"/>
              <w:pBdr/>
              <w:shd w:val="clear" w:fill="auto"/>
              <w:spacing w:lineRule="auto" w:line="240" w:before="0" w:after="20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2"/>
                <w:szCs w:val="22"/>
                <w:u w:val="single"/>
                <w:vertAlign w:val="baseline"/>
              </w:rPr>
            </w:pPr>
            <w:r>
              <w:rPr>
                <w:rFonts w:eastAsia="Cambria" w:cs="Cambria" w:ascii="Cambria" w:hAnsi="Cambria"/>
                <w:b w:val="false"/>
                <w:i w:val="false"/>
                <w:caps w:val="false"/>
                <w:smallCaps w:val="false"/>
                <w:strike w:val="false"/>
                <w:dstrike w:val="false"/>
                <w:color w:val="00000A"/>
                <w:position w:val="0"/>
                <w:sz w:val="22"/>
                <w:sz w:val="22"/>
                <w:szCs w:val="22"/>
                <w:u w:val="single"/>
                <w:shd w:fill="auto" w:val="clear"/>
                <w:vertAlign w:val="baseline"/>
              </w:rPr>
            </w:r>
          </w:p>
        </w:tc>
      </w:tr>
    </w:tbl>
    <w:p>
      <w:pPr>
        <w:pStyle w:val="Normal1"/>
        <w:keepNext w:val="false"/>
        <w:keepLines w:val="false"/>
        <w:pageBreakBefore w:val="false"/>
        <w:widowControl/>
        <w:pBdr/>
        <w:shd w:val="clear" w:fill="auto"/>
        <w:spacing w:lineRule="auto" w:line="276" w:before="0" w:after="200"/>
        <w:ind w:left="0" w:right="0" w:hanging="0"/>
        <w:jc w:val="left"/>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mbria" w:cs="Cambria" w:ascii="Cambria" w:hAnsi="Cambria"/>
          <w:b/>
          <w:i w:val="false"/>
          <w:caps w:val="false"/>
          <w:smallCaps w:val="false"/>
          <w:strike w:val="false"/>
          <w:dstrike w:val="false"/>
          <w:color w:val="00000A"/>
          <w:position w:val="0"/>
          <w:sz w:val="22"/>
          <w:sz w:val="22"/>
          <w:szCs w:val="22"/>
          <w:u w:val="singl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left"/>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mbria" w:cs="Cambria" w:ascii="Cambria" w:hAnsi="Cambria"/>
          <w:b/>
          <w:i w:val="false"/>
          <w:caps w:val="false"/>
          <w:smallCaps w:val="false"/>
          <w:strike w:val="false"/>
          <w:dstrike w:val="false"/>
          <w:color w:val="00000A"/>
          <w:position w:val="0"/>
          <w:sz w:val="22"/>
          <w:sz w:val="22"/>
          <w:szCs w:val="22"/>
          <w:u w:val="singl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left"/>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mbria" w:cs="Cambria" w:ascii="Cambria" w:hAnsi="Cambria"/>
          <w:b/>
          <w:i w:val="false"/>
          <w:caps w:val="false"/>
          <w:smallCaps w:val="false"/>
          <w:strike w:val="false"/>
          <w:dstrike w:val="false"/>
          <w:color w:val="00000A"/>
          <w:position w:val="0"/>
          <w:sz w:val="22"/>
          <w:sz w:val="22"/>
          <w:szCs w:val="22"/>
          <w:u w:val="singl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left"/>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mbria" w:cs="Cambria" w:ascii="Cambria" w:hAnsi="Cambria"/>
          <w:b/>
          <w:i w:val="false"/>
          <w:caps w:val="false"/>
          <w:smallCaps w:val="false"/>
          <w:strike w:val="false"/>
          <w:dstrike w:val="false"/>
          <w:color w:val="00000A"/>
          <w:position w:val="0"/>
          <w:sz w:val="22"/>
          <w:sz w:val="22"/>
          <w:szCs w:val="22"/>
          <w:u w:val="singl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ÍNDICE</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INTRODUCCIÓN</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 COMPETENCIAS ESPECÍFICAS Y CRITERIOS DE EVALUACIÓN ASOCIADOS A ELLAS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2. CONCRECIÓN, AGRUPAMIENTO Y SECUENCIACIÓN DE LOS SABERES BÁSICOS Y DE LOS CRITERIOS DE EVALUACIÓN EN UNIDADES DIDÁCTICAS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3. PROCEDIMIENTOS E INSTRUMENTOS DE EVALUACIÓN</w:t>
      </w:r>
    </w:p>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xml:space="preserve">4. CRITERIOS DE CALIFICACIÓN y RELACIÓN CON CRITERIOS DE EVALUACIÓN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5. EVALUACIÓN INICIAL</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6. ACTUACIONES GENERALES DE ATENCIÓN A LAS DIFERENCIAS INDIVIDUALES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7. PLAN DE SEGUIMIENTO PERSONAL PARA EL ALUMNADO QUE NO PROMOCIONA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xml:space="preserve">8. PLAN DE RECUPERACIÓN DE MATERIAS PENDIENTES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9. ESTRATEGIAS DIDÁCTICAS Y METODOLÓGICAS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10. CONCRECIÓN  DEL PLAN LECTOR</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bookmarkStart w:id="1" w:name="_heading=h.30j0zll"/>
      <w:bookmarkEnd w:id="1"/>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11. CONCRECIÓN DEL PLAN DE IMPLEMENTACIÓN DE ELEMENTOS TRANSVERSALES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xml:space="preserve">12. CONCRECIÓN DEL PLAN DE UTILIZACIÓN DE LAS TECNOLOGÍAS DIGITALES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13. MEDIDAS COMPLEMENTARIAS QUE SE PLANTEAN PARA EL TRATAMIENTO DE LAS MATERIAS DENTRO DE ITINERARIOS BILINGÜES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14. MECANISMOS DE REVISIÓN, EVALUACIÓN Y MODIFICACIÓN DE LAS PROGRAMACIONES DIDÁCTICAS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15. ACTIVIDADES COMPLEMENTARIAS Y EXTRAESCOLARES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16. FORMA EN LA QUE SE DAN A CONOCER LOS ASPECTOS RELEVANTES DE ESTA PROGRAMACIÓN AL ALUMNADO Y LAS FAMILIAS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17. OTRAS CONSIDERACIONES</w:t>
      </w:r>
    </w:p>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INTRODUCCIÓN</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Programación Didáctica de la materia física y química, perteneciente al segundo curso de educación secundaria obligatoria.</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La normativa básica para la elaboración de esta programación es:</w:t>
      </w:r>
    </w:p>
    <w:p>
      <w:pPr>
        <w:pStyle w:val="Normal1"/>
        <w:keepNext w:val="false"/>
        <w:keepLines w:val="false"/>
        <w:pageBreakBefore w:val="false"/>
        <w:widowControl/>
        <w:numPr>
          <w:ilvl w:val="0"/>
          <w:numId w:val="10"/>
        </w:numPr>
        <w:pBdr/>
        <w:shd w:val="clear" w:fill="auto"/>
        <w:spacing w:lineRule="auto" w:line="276" w:before="0" w:after="200"/>
        <w:ind w:left="720" w:right="0" w:hanging="36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t>Orden de 18 de mayo de 2015, de la Consejera de Educación, Universidad, Cultura y Deporte, por la que se aprueban las Instrucciones que regulan la organización y el funcionamiento de los Institutos de Educación Secundaria de la Comunidad Autónoma de Aragón, modificada por Orden ECD/779/2016, de 11 de julio.</w:t>
      </w:r>
    </w:p>
    <w:p>
      <w:pPr>
        <w:pStyle w:val="Normal1"/>
        <w:keepNext w:val="false"/>
        <w:keepLines w:val="false"/>
        <w:pageBreakBefore w:val="false"/>
        <w:widowControl/>
        <w:numPr>
          <w:ilvl w:val="0"/>
          <w:numId w:val="10"/>
        </w:numPr>
        <w:pBdr/>
        <w:shd w:val="clear" w:fill="auto"/>
        <w:spacing w:lineRule="auto" w:line="276" w:before="0" w:after="200"/>
        <w:ind w:left="720" w:right="0" w:hanging="360"/>
        <w:jc w:val="both"/>
        <w:rPr>
          <w:rFonts w:ascii="Cambria" w:hAnsi="Cambria" w:eastAsia="Cambria" w:cs="Cambria"/>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t>Orden ECD/1172/2022, de 2 de agosto, por la que se aprueban el currículo y las características de la evaluación de la Educación Secundaria Obligatoria y se autoriza su aplicación en los centros docentes de la Comunidad Autónoma de Aragón</w:t>
      </w:r>
    </w:p>
    <w:p>
      <w:pPr>
        <w:pStyle w:val="Normal1"/>
        <w:keepNext w:val="false"/>
        <w:keepLines w:val="false"/>
        <w:pageBreakBefore w:val="false"/>
        <w:widowControl/>
        <w:numPr>
          <w:ilvl w:val="0"/>
          <w:numId w:val="10"/>
        </w:numPr>
        <w:pBdr/>
        <w:shd w:val="clear" w:fill="auto"/>
        <w:spacing w:lineRule="auto" w:line="276" w:before="0" w:after="200"/>
        <w:ind w:left="720" w:right="0" w:hanging="360"/>
        <w:jc w:val="both"/>
        <w:rPr>
          <w:rFonts w:ascii="Cambria" w:hAnsi="Cambria" w:eastAsia="Cambria" w:cs="Cambria"/>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t>Real Decreto 217/2022, de 29 de marzo, por el que se establece la ordenación y las enseñanzas mínimas de la Educación Secundaria Obligatoria.</w:t>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200"/>
        <w:ind w:left="0" w:right="0" w:hanging="0"/>
        <w:jc w:val="both"/>
        <w:rPr>
          <w:rFonts w:ascii="Calibri" w:hAnsi="Calibri" w:eastAsia="Calibri" w:cs="Calibri"/>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1. COMPETENCIAS ESPECÍFICAS Y CRITERIOS DE EVALUACIÓN ASOCIADOS A ELLAS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En la siguiente tabla se muestra la relación entre los criterios de evaluación, las competencias específicas de la asignatura, las competencias del perfil de salida y la relación con las competencias específicas de esta o de otras materias.</w:t>
      </w:r>
    </w:p>
    <w:tbl>
      <w:tblPr>
        <w:tblStyle w:val="Table2"/>
        <w:tblW w:w="9930" w:type="dxa"/>
        <w:jc w:val="left"/>
        <w:tblInd w:w="-794" w:type="dxa"/>
        <w:tblCellMar>
          <w:top w:w="0" w:type="dxa"/>
          <w:left w:w="108" w:type="dxa"/>
          <w:bottom w:w="0" w:type="dxa"/>
          <w:right w:w="108" w:type="dxa"/>
        </w:tblCellMar>
        <w:tblLook w:val="0600"/>
      </w:tblPr>
      <w:tblGrid>
        <w:gridCol w:w="3715"/>
        <w:gridCol w:w="2507"/>
        <w:gridCol w:w="1644"/>
        <w:gridCol w:w="2063"/>
      </w:tblGrid>
      <w:tr>
        <w:trPr>
          <w:trHeight w:val="551"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Criterios de evaluación</w:t>
            </w:r>
          </w:p>
        </w:tc>
        <w:tc>
          <w:tcPr>
            <w:tcW w:w="2507" w:type="dxa"/>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Competencia específica</w:t>
            </w:r>
          </w:p>
        </w:tc>
        <w:tc>
          <w:tcPr>
            <w:tcW w:w="1644" w:type="dxa"/>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Perfil de salida</w:t>
            </w:r>
          </w:p>
        </w:tc>
        <w:tc>
          <w:tcPr>
            <w:tcW w:w="2063" w:type="dxa"/>
            <w:tcBorders>
              <w:top w:val="single" w:sz="6" w:space="0" w:color="999999"/>
              <w:left w:val="single" w:sz="6" w:space="0" w:color="999999"/>
              <w:bottom w:val="single" w:sz="6" w:space="0" w:color="999999"/>
              <w:right w:val="single" w:sz="6" w:space="0" w:color="999999"/>
            </w:tcBorders>
            <w:shd w:fill="auto" w:val="clear"/>
            <w:tcMar>
              <w:left w:w="0" w:type="dxa"/>
              <w:right w:w="0" w:type="dxa"/>
            </w:tcM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Competencias específicas relacionadas</w:t>
            </w:r>
          </w:p>
        </w:tc>
      </w:tr>
      <w:tr>
        <w:trPr>
          <w:trHeight w:val="1905"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bottom"/>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1.1. Identificar, comprender y explicar los fenómenos fisicoquímicos cotidianos más relevantes a partir de los principios, teorías y leyes científicas adecuadas, expresándolos, de manera argumentada, utilizando diversidad de soportes y medios de comunicación.</w:t>
            </w:r>
          </w:p>
        </w:tc>
        <w:tc>
          <w:tcPr>
            <w:tcW w:w="2507"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CE.FQ.1. Comprender y relacionar los motivos por los que ocurren los principales fenómenos fisicoquímicos del entorno, explicándolos en términos de las leyes y teorías científicas adecuadas, para resolver problemas con el fin de aplicarlas para mejorar la realidad cercana y la calidad de vida humana.</w:t>
            </w:r>
          </w:p>
        </w:tc>
        <w:tc>
          <w:tcPr>
            <w:tcW w:w="1644"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CCL1, STEM1, STEM2, STEM4, CPSAA4</w:t>
            </w:r>
          </w:p>
        </w:tc>
        <w:tc>
          <w:tcPr>
            <w:tcW w:w="2063"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CE.FQ.2., CE.FQ.5, CE.BG.2., CE.GH.3.</w:t>
            </w:r>
          </w:p>
        </w:tc>
      </w:tr>
      <w:tr>
        <w:trPr>
          <w:trHeight w:val="1635"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bottom"/>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1.2. Resolver los problemas fisicoquímicos planteados utilizando las leyes y teorías científicas adecuadas, razonando los procedimientos utilizados para encontrar las soluciones y expresando adecuadamente los resultados.</w:t>
            </w:r>
          </w:p>
        </w:tc>
        <w:tc>
          <w:tcPr>
            <w:tcW w:w="2507"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1644"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2063"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r>
      <w:tr>
        <w:trPr>
          <w:trHeight w:val="1710"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bottom"/>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p>
        </w:tc>
        <w:tc>
          <w:tcPr>
            <w:tcW w:w="2507"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1644"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2063"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r>
      <w:tr>
        <w:trPr>
          <w:trHeight w:val="2036"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bottom"/>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2.1. Emplear las metodologías propias de la ciencia en la identificación y descripción de fenómenos a partir de cuestiones a las que se pueda dar respuesta a través de la indagación, la deducción, el trabajo experimental y el razonamiento lógico-matemático, diferenciándolas de aquellas pseudocientíficas que no admiten comprobación experimental.</w:t>
            </w:r>
          </w:p>
        </w:tc>
        <w:tc>
          <w:tcPr>
            <w:tcW w:w="2507"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CE.FQ.2. Expresar las observaciones realizadas por el alumnado en forma de preguntas, formulando hipótesis para explicarlas y demostrando dichas hipótesis a través de la experimentación científica, la indagación y la búsqueda de evidencias, para desarrollar los razonamientos propios del pensamiento científico y mejorar las destrezas en el uso de las metodologías científicas.</w:t>
            </w:r>
          </w:p>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tc>
        <w:tc>
          <w:tcPr>
            <w:tcW w:w="1644"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CCL1, CCL3, STEM1, STEM2, CD1, CPSAA4, CE1, CCEC3</w:t>
            </w:r>
          </w:p>
        </w:tc>
        <w:tc>
          <w:tcPr>
            <w:tcW w:w="2063"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CE.FQ.1., CE.FQ.3., CE.BG.4., CE.GH.3.</w:t>
            </w:r>
          </w:p>
        </w:tc>
      </w:tr>
      <w:tr>
        <w:trPr>
          <w:trHeight w:val="1960"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bottom"/>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2.2. Seleccionar, de acuerdo con la naturaleza de las cuestiones que se traten, la mejor manera de comprobar o refutar las hipótesis formuladas, diseñando estrategias de indagación y búsqueda de evidencias que permitan obtener conclusiones y respuestas ajustadas a la naturaleza de la pregunta formulada.</w:t>
            </w:r>
          </w:p>
        </w:tc>
        <w:tc>
          <w:tcPr>
            <w:tcW w:w="2507"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1644"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2063"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r>
      <w:tr>
        <w:trPr>
          <w:trHeight w:val="1635"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bottom"/>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2.3. Aplicar las leyes y teorías científicas conocidas al formular cuestiones e hipótesis, siendo coherente con el conocimiento científico existente y diseñando los procedimientos experimentales o deductivos necesarios para resolverlas o comprobarlas.</w:t>
            </w:r>
          </w:p>
        </w:tc>
        <w:tc>
          <w:tcPr>
            <w:tcW w:w="2507"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1644"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2063"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r>
      <w:tr>
        <w:trPr>
          <w:trHeight w:val="2070"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bottom"/>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3.1. Emplear datos en diferentes formatos para interpretar y comunicar información relativa a un proceso fisicoquímico concreto, relacionando entre sí lo que cada uno de ellos contiene, y extrayendo en cada caso lo más relevante para la resolución de un problema.</w:t>
            </w:r>
          </w:p>
        </w:tc>
        <w:tc>
          <w:tcPr>
            <w:tcW w:w="2507"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CE.FQ.3. 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para reconocer el carácter universal y transversal del lenguaje científico y la necesidad de una comunicación fiable en investigación y ciencia entre diferentes países y culturas.</w:t>
            </w:r>
          </w:p>
        </w:tc>
        <w:tc>
          <w:tcPr>
            <w:tcW w:w="1644"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STEM4, STEM5, CD3, CPSAA2, CC1, CCEC2, CCEC4</w:t>
            </w:r>
          </w:p>
        </w:tc>
        <w:tc>
          <w:tcPr>
            <w:tcW w:w="2063"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CE.FQ.1., CE.FQ.2., CE.LC.2., CE.LC.3., CE.LC.5., CE.LE.1., CE.M.9</w:t>
            </w:r>
          </w:p>
        </w:tc>
      </w:tr>
      <w:tr>
        <w:trPr>
          <w:trHeight w:val="1890"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bottom"/>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3.2. Utilizar adecuadamente las reglas básicas de la física y la química, incluyendo el uso de unidades de medida, las herramientas matemáticas y las reglas de nomenclatura, consiguiendo una comunicación efectiva con toda la comunidad científica.</w:t>
            </w:r>
          </w:p>
        </w:tc>
        <w:tc>
          <w:tcPr>
            <w:tcW w:w="2507"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1644"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2063"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r>
      <w:tr>
        <w:trPr>
          <w:trHeight w:val="1950"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bottom"/>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3.3. Poner en práctica las normas de uso de los espacios específicos de la ciencia, como el laboratorio de Física y Química, asegurando la salud propia y colectiva, la conservación sostenible del medio ambiente y el cuidado de las instalaciones.</w:t>
            </w:r>
          </w:p>
        </w:tc>
        <w:tc>
          <w:tcPr>
            <w:tcW w:w="2507"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1644"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2063"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r>
      <w:tr>
        <w:trPr>
          <w:trHeight w:val="1747"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bottom"/>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4.1. Utilizar recursos variados, tradicionales y digitales, mejorando el aprendizaje autónomo y la interacción con otros miembros de la comunidad educativa, con respeto hacia docentes y estudiantes y analizando críticamente las aportaciones de cada participante.</w:t>
            </w:r>
          </w:p>
        </w:tc>
        <w:tc>
          <w:tcPr>
            <w:tcW w:w="2507"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CE.FQ.4. Utilizar de forma crítica, eficiente y segura plataformas digitales y recursos variados, tanto para el trabajo individual como en equipo, para fomentar la creatividad, el desarrollo personal y el aprendizaje individual y social, mediante la consulta de información, la creación de materiales y la comunicación efectiva en los diferentes entornos de aprendizaje.</w:t>
            </w:r>
          </w:p>
        </w:tc>
        <w:tc>
          <w:tcPr>
            <w:tcW w:w="1644"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CCL2, CCL3, STEM4, CD1, CD2, CPSAA3, CE3, CCEC4</w:t>
            </w:r>
          </w:p>
        </w:tc>
        <w:tc>
          <w:tcPr>
            <w:tcW w:w="2063"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CE.FQ.5., CE.FQ.3., CELC.2., CE.EE.6.</w:t>
            </w:r>
          </w:p>
        </w:tc>
      </w:tr>
      <w:tr>
        <w:trPr>
          <w:trHeight w:val="2220"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bottom"/>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4.2. Trabajar de forma adecuada con medios variados, tradicionales y digitales, en la consulta de información y la creación de contenidos, seleccionando con criterio las fuentes más fiables y desechando las menos adecuadas y mejorando el aprendizaje propio y colectivo.</w:t>
            </w:r>
          </w:p>
        </w:tc>
        <w:tc>
          <w:tcPr>
            <w:tcW w:w="2507"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1644"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2063"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r>
      <w:tr>
        <w:trPr>
          <w:trHeight w:val="1620"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bottom"/>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5.1. Establecer interacciones constructivas y coeducativas, emprendiendo actividades de cooperación como forma de construir un medio de trabajo eficiente en la ciencia.</w:t>
            </w:r>
          </w:p>
        </w:tc>
        <w:tc>
          <w:tcPr>
            <w:tcW w:w="2507"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CE.FQ.5. Utilizar las estrategias propias del trabajo colaborativo, potenciando el crecimiento entre iguales como base emprendedora de una comunidad científica crítica, ética y eficiente, para comprender la importancia de la ciencia en la mejora de la sociedad, las aplicaciones y repercusiones de los avances científicos, la preservación de la salud y la conservación sostenible del medio ambiente.</w:t>
            </w:r>
          </w:p>
        </w:tc>
        <w:tc>
          <w:tcPr>
            <w:tcW w:w="1644"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CCL5, CP3, STEM3, STEM5, CD3, CPSAA3, CC3, CE2</w:t>
            </w:r>
          </w:p>
        </w:tc>
        <w:tc>
          <w:tcPr>
            <w:tcW w:w="2063"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CE.FQ.4., CE.FQ.3., CE.BG.5., CE.M.11., CE.BG.1.</w:t>
            </w:r>
          </w:p>
        </w:tc>
      </w:tr>
      <w:tr>
        <w:trPr>
          <w:trHeight w:val="1226"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bottom"/>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5.2. Emprender, de forma guiada y de acuerdo a la metodología adecuada, proyectos científicos que involucren al alumnado en la mejora de la sociedad y que creen valor para el individuo y para la comunidad.</w:t>
            </w:r>
          </w:p>
        </w:tc>
        <w:tc>
          <w:tcPr>
            <w:tcW w:w="2507"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1644"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2063"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r>
      <w:tr>
        <w:trPr>
          <w:trHeight w:val="2295"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bottom"/>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p>
        </w:tc>
        <w:tc>
          <w:tcPr>
            <w:tcW w:w="2507"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CE.FQ.6. Comprender y valorar la ciencia como una construcción colectiva en continuo cambio y evolución, en la que no solo participan las personas dedicadas a ella, sino que también requiere de una interacción con el resto de la sociedad, para obtener resultados que repercutan en el avance tecnológico, económico, ambiental y social.</w:t>
            </w:r>
          </w:p>
        </w:tc>
        <w:tc>
          <w:tcPr>
            <w:tcW w:w="1644"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STEM2, STEM5, CD4, CPSAA1, CPSAA4, CC4, CCEC1.</w:t>
            </w:r>
          </w:p>
        </w:tc>
        <w:tc>
          <w:tcPr>
            <w:tcW w:w="2063" w:type="dxa"/>
            <w:vMerge w:val="restart"/>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CE.FQ.3., CE.FQ.1., CE.GH.7., CE.EE.3., CE.M.2</w:t>
            </w:r>
          </w:p>
        </w:tc>
      </w:tr>
      <w:tr>
        <w:trPr>
          <w:trHeight w:val="915" w:hRule="atLeast"/>
        </w:trPr>
        <w:tc>
          <w:tcPr>
            <w:tcW w:w="3715" w:type="dxa"/>
            <w:tcBorders>
              <w:top w:val="single" w:sz="6" w:space="0" w:color="999999"/>
              <w:left w:val="single" w:sz="6" w:space="0" w:color="999999"/>
              <w:bottom w:val="single" w:sz="6" w:space="0" w:color="999999"/>
              <w:right w:val="single" w:sz="6" w:space="0" w:color="999999"/>
            </w:tcBorders>
            <w:shd w:fill="auto" w:val="clear"/>
            <w:vAlign w:val="bottom"/>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6.2. Detectar en el entorno las necesidades tecnológicas, ambientales, económicas y sociales más importantes que demanda la sociedad, entendiendo la capacidad de la ciencia para darles solución sostenible a través de la implicación de toda la ciudadanía.</w:t>
            </w:r>
          </w:p>
        </w:tc>
        <w:tc>
          <w:tcPr>
            <w:tcW w:w="2507"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1644"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c>
          <w:tcPr>
            <w:tcW w:w="2063" w:type="dxa"/>
            <w:vMerge w:val="continue"/>
            <w:tcBorders>
              <w:top w:val="single" w:sz="6" w:space="0" w:color="999999"/>
              <w:left w:val="single" w:sz="6" w:space="0" w:color="999999"/>
              <w:bottom w:val="single" w:sz="6" w:space="0" w:color="999999"/>
              <w:right w:val="single" w:sz="6" w:space="0" w:color="999999"/>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0"/>
                <w:sz w:val="20"/>
                <w:szCs w:val="20"/>
                <w:u w:val="none"/>
                <w:vertAlign w:val="baseline"/>
              </w:rPr>
            </w:pPr>
            <w:r>
              <w:rPr>
                <w:rFonts w:eastAsia="Cambria" w:cs="Cambria" w:ascii="Cambria" w:hAnsi="Cambria"/>
                <w:b w:val="false"/>
                <w:i w:val="false"/>
                <w:caps w:val="false"/>
                <w:smallCaps w:val="false"/>
                <w:strike w:val="false"/>
                <w:dstrike w:val="false"/>
                <w:color w:val="000000"/>
                <w:position w:val="0"/>
                <w:sz w:val="20"/>
                <w:sz w:val="20"/>
                <w:szCs w:val="20"/>
                <w:u w:val="none"/>
                <w:shd w:fill="auto" w:val="clear"/>
                <w:vertAlign w:val="baseline"/>
              </w:rPr>
            </w:r>
          </w:p>
        </w:tc>
      </w:tr>
    </w:tbl>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2. CONCRECIÓN, AGRUPAMIENTO Y SECUENCIACIÓN DE LOS SABERES BÁSICOS Y DE LOS CRITERIOS DE EVALUACIÓN EN UNIDADES DIDÁCTICAS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En la siguiente tabla se muestra la relación de los saberes básicos con los conocimientos, destrezas y actitudes, los criterios de evaluación y las competencias específicas de cada una de las unidades didácticas del curso.</w:t>
      </w:r>
    </w:p>
    <w:tbl>
      <w:tblPr>
        <w:tblStyle w:val="Table3"/>
        <w:tblW w:w="10785" w:type="dxa"/>
        <w:jc w:val="left"/>
        <w:tblInd w:w="-1215" w:type="dxa"/>
        <w:tblCellMar>
          <w:top w:w="0" w:type="dxa"/>
          <w:left w:w="108" w:type="dxa"/>
          <w:bottom w:w="0" w:type="dxa"/>
          <w:right w:w="108" w:type="dxa"/>
        </w:tblCellMar>
        <w:tblLook w:val="0600"/>
      </w:tblPr>
      <w:tblGrid>
        <w:gridCol w:w="984"/>
        <w:gridCol w:w="3386"/>
        <w:gridCol w:w="5065"/>
        <w:gridCol w:w="1349"/>
      </w:tblGrid>
      <w:tr>
        <w:trPr>
          <w:trHeight w:val="280" w:hRule="atLeast"/>
        </w:trPr>
        <w:tc>
          <w:tcPr>
            <w:tcW w:w="10784" w:type="dxa"/>
            <w:gridSpan w:val="4"/>
            <w:tcBorders>
              <w:top w:val="single" w:sz="4" w:space="0" w:color="CCCCCC"/>
              <w:left w:val="single" w:sz="4" w:space="0" w:color="CCCCCC"/>
              <w:bottom w:val="single" w:sz="4" w:space="0" w:color="CCCCCC"/>
              <w:right w:val="single" w:sz="4" w:space="0" w:color="CCCCCC"/>
            </w:tcBorders>
            <w:shd w:fill="auto" w:val="clear"/>
            <w:vAlign w:val="bottom"/>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Unidad 1</w:t>
            </w:r>
          </w:p>
        </w:tc>
      </w:tr>
      <w:tr>
        <w:trPr/>
        <w:tc>
          <w:tcPr>
            <w:tcW w:w="984" w:type="dxa"/>
            <w:tcBorders>
              <w:top w:val="single" w:sz="4" w:space="0" w:color="CCCCCC"/>
              <w:left w:val="single" w:sz="4" w:space="0" w:color="CCCCCC"/>
              <w:bottom w:val="single" w:sz="4" w:space="0" w:color="CCCCCC"/>
              <w:right w:val="single" w:sz="4" w:space="0" w:color="CCCCCC"/>
            </w:tcBorders>
            <w:shd w:fill="auto" w:val="clear"/>
            <w:vAlign w:val="bottom"/>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Saberes básicos</w:t>
            </w:r>
          </w:p>
        </w:tc>
        <w:tc>
          <w:tcPr>
            <w:tcW w:w="3386" w:type="dxa"/>
            <w:tcBorders>
              <w:top w:val="single" w:sz="4" w:space="0" w:color="CCCCCC"/>
              <w:left w:val="single" w:sz="4" w:space="0" w:color="CCCCCC"/>
              <w:bottom w:val="single" w:sz="4" w:space="0" w:color="CCCCCC"/>
              <w:right w:val="single" w:sz="4" w:space="0" w:color="CCCCCC"/>
            </w:tcBorders>
            <w:shd w:fill="auto" w:val="clear"/>
            <w:vAlign w:val="bottom"/>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Conocimientos, destrezas y actitudes</w:t>
            </w:r>
          </w:p>
        </w:tc>
        <w:tc>
          <w:tcPr>
            <w:tcW w:w="5065" w:type="dxa"/>
            <w:tcBorders>
              <w:top w:val="single" w:sz="4" w:space="0" w:color="CCCCCC"/>
              <w:left w:val="single" w:sz="4" w:space="0" w:color="CCCCCC"/>
              <w:bottom w:val="single" w:sz="4" w:space="0" w:color="CCCCCC"/>
              <w:right w:val="single" w:sz="4" w:space="0" w:color="CCCCCC"/>
            </w:tcBorders>
            <w:shd w:fill="auto" w:val="clear"/>
            <w:vAlign w:val="bottom"/>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Criterios de evaluación</w:t>
            </w:r>
          </w:p>
        </w:tc>
        <w:tc>
          <w:tcPr>
            <w:tcW w:w="1349" w:type="dxa"/>
            <w:tcBorders>
              <w:top w:val="single" w:sz="4" w:space="0" w:color="CCCCCC"/>
              <w:left w:val="single" w:sz="4" w:space="0" w:color="CCCCCC"/>
              <w:bottom w:val="single" w:sz="4" w:space="0" w:color="CCCCCC"/>
              <w:right w:val="single" w:sz="4" w:space="0" w:color="CCCCCC"/>
            </w:tcBorders>
            <w:shd w:fill="auto" w:val="clear"/>
            <w:vAlign w:val="bottom"/>
          </w:tcPr>
          <w:p>
            <w:pPr>
              <w:pStyle w:val="Normal1"/>
              <w:keepNext w:val="false"/>
              <w:keepLines w:val="false"/>
              <w:widowControl w:val="false"/>
              <w:pBdr/>
              <w:shd w:val="clear" w:fill="auto"/>
              <w:spacing w:lineRule="auto" w:line="276" w:before="0" w:after="0"/>
              <w:ind w:left="0" w:right="0" w:hanging="0"/>
              <w:jc w:val="center"/>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Competencias específicas</w:t>
            </w:r>
          </w:p>
        </w:tc>
      </w:tr>
      <w:tr>
        <w:trPr/>
        <w:tc>
          <w:tcPr>
            <w:tcW w:w="984" w:type="dxa"/>
            <w:tcBorders>
              <w:top w:val="single" w:sz="4" w:space="0" w:color="CCCCCC"/>
              <w:left w:val="single" w:sz="4" w:space="0" w:color="CCCCCC"/>
              <w:bottom w:val="single" w:sz="4" w:space="0" w:color="CCCCCC"/>
              <w:right w:val="single" w:sz="4" w:space="0" w:color="CCCCCC"/>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A. Las destrezas científicas básicas</w:t>
            </w:r>
          </w:p>
        </w:tc>
        <w:tc>
          <w:tcPr>
            <w:tcW w:w="3386" w:type="dxa"/>
            <w:tcBorders>
              <w:top w:val="single" w:sz="4" w:space="0" w:color="CCCCCC"/>
              <w:left w:val="single" w:sz="4" w:space="0" w:color="CCCCCC"/>
              <w:bottom w:val="single" w:sz="4" w:space="0" w:color="CCCCCC"/>
              <w:right w:val="single" w:sz="4" w:space="0" w:color="CCCCCC"/>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El lenguaje científico: unidades del Sistema Internacional y sus símbolos. Herramientas matemáticas básicas en diferentes escenarios científicos y de aprendizaje.</w:t>
            </w:r>
          </w:p>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Trabajo experimental y proyectos de investigación: estrategias en la resolución de problemas y en el desarrollo de investigaciones mediante la indagación, la deducción, la búsqueda de evidencias y el razonamiento lógico-matemático, haciendo inferencias válidas de las observaciones y obteniendo conclusiones.</w:t>
            </w:r>
          </w:p>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Metodologías de la investigación científica: identificación y formulación de cuestiones, elaboración de hipótesis y comprobación experimental de las mismas.</w:t>
            </w:r>
          </w:p>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Diversos entornos y recursos de aprendizaje científico como el laboratorio o los entornos virtuales: materiales, sustancias y herramientas tecnológicas.</w:t>
            </w:r>
          </w:p>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Normas de uso de cada espacio, asegurando y protegiendo así la salud propia y comunitaria, la seguridad en redes y el respeto hacia el medio ambiente.</w:t>
            </w:r>
          </w:p>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Estrategias de interpretación y producción de información científica utilizando diferentes formatos y diferentes medios: desarrollo del criterio propio basado en lo que el pensamiento científico aporta a la mejora de la sociedad para hacerla más justa, equitativa e igualitaria.</w:t>
            </w:r>
          </w:p>
        </w:tc>
        <w:tc>
          <w:tcPr>
            <w:tcW w:w="5065" w:type="dxa"/>
            <w:tcBorders>
              <w:top w:val="single" w:sz="4" w:space="0" w:color="CCCCCC"/>
              <w:left w:val="single" w:sz="4" w:space="0" w:color="CCCCCC"/>
              <w:bottom w:val="single" w:sz="4" w:space="0" w:color="CCCCCC"/>
              <w:right w:val="single" w:sz="4" w:space="0" w:color="CCCCCC"/>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1.1. Identificar, comprender y explicar los fenómenos fisicoquímicos cotidianos más relevantes a partir de los principios, teorías y leyes científicas adecuadas, expresándolos, de manera argumentada, utilizando diversidad de soportes y medios de comunicación.</w:t>
            </w:r>
          </w:p>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p>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2.1. Emplear las metodologías propias de la ciencia en la identificación y descripción de fenómenos a partir de cuestiones a las que se pueda dar respuesta a través de la indagación, la deducción, el trabajo experimental y el razonamiento lógico-matemático, diferenciándolas de aquellas pseudocientíficas que no admiten comprobación experimental.</w:t>
            </w:r>
          </w:p>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2.2. Seleccionar, de acuerdo con la naturaleza de las cuestiones que se traten, la mejor manera de comprobar o refutar las hipótesis formuladas, diseñando estrategias de indagación y búsqueda de evidencias que permitan obtener conclusiones y respuestas ajustadas a la naturaleza de la pregunta formulada.</w:t>
            </w:r>
          </w:p>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2.3. Aplicar las leyes y teorías científicas conocidas al formular cuestiones e hipótesis, siendo coherente con el conocimiento científico existente y diseñando los procedimientos experimentales o deductivos necesarios para resolverlas o comprobarlas.</w:t>
            </w:r>
          </w:p>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3.2. Utilizar adecuadamente las reglas básicas de la física y la química, incluyendo el uso de unidades de medida, las herramientas matemáticas y las reglas de nomenclatura, consiguiendo una comunicación efectiva con toda la comunidad científica.</w:t>
            </w:r>
          </w:p>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3.3. Poner en práctica las normas de uso de los espacios específicos de la ciencia, como el laboratorio de Física y Química, asegurando la salud propia y colectiva, la conservación sostenible del medio ambiente y el cuidado de las instalaciones.</w:t>
            </w:r>
          </w:p>
        </w:tc>
        <w:tc>
          <w:tcPr>
            <w:tcW w:w="1349" w:type="dxa"/>
            <w:tcBorders>
              <w:top w:val="single" w:sz="4" w:space="0" w:color="CCCCCC"/>
              <w:left w:val="single" w:sz="4" w:space="0" w:color="CCCCCC"/>
              <w:bottom w:val="single" w:sz="4" w:space="0" w:color="CCCCCC"/>
              <w:right w:val="single" w:sz="4" w:space="0" w:color="CCCCCC"/>
            </w:tcBorders>
            <w:shd w:fill="auto" w:val="clear"/>
            <w:vAlign w:val="center"/>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CE.FQ.2</w:t>
            </w:r>
          </w:p>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CE.FQ.1.</w:t>
            </w:r>
          </w:p>
          <w:p>
            <w:pPr>
              <w:pStyle w:val="Normal1"/>
              <w:keepNext w:val="false"/>
              <w:keepLines w:val="false"/>
              <w:widowControl w:val="false"/>
              <w:pBdr/>
              <w:shd w:val="clear" w:fill="auto"/>
              <w:spacing w:lineRule="auto" w:line="276" w:before="0" w:after="0"/>
              <w:ind w:left="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0"/>
                <w:szCs w:val="20"/>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CE.FQ.3.</w:t>
            </w:r>
          </w:p>
        </w:tc>
      </w:tr>
    </w:tbl>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r>
    </w:p>
    <w:tbl>
      <w:tblPr>
        <w:tblStyle w:val="Table4"/>
        <w:tblW w:w="10770" w:type="dxa"/>
        <w:jc w:val="left"/>
        <w:tblInd w:w="-1245" w:type="dxa"/>
        <w:tblCellMar>
          <w:top w:w="0" w:type="dxa"/>
          <w:left w:w="108" w:type="dxa"/>
          <w:bottom w:w="0" w:type="dxa"/>
          <w:right w:w="108" w:type="dxa"/>
        </w:tblCellMar>
        <w:tblLook w:val="0600"/>
      </w:tblPr>
      <w:tblGrid>
        <w:gridCol w:w="1315"/>
        <w:gridCol w:w="2248"/>
        <w:gridCol w:w="5730"/>
        <w:gridCol w:w="1476"/>
      </w:tblGrid>
      <w:tr>
        <w:trPr>
          <w:trHeight w:val="420" w:hRule="atLeast"/>
        </w:trPr>
        <w:tc>
          <w:tcPr>
            <w:tcW w:w="10769" w:type="dxa"/>
            <w:gridSpan w:val="4"/>
            <w:tcBorders>
              <w:top w:val="single" w:sz="8" w:space="0" w:color="B7B7B7"/>
              <w:left w:val="single" w:sz="8" w:space="0" w:color="B7B7B7"/>
              <w:bottom w:val="single" w:sz="4" w:space="0" w:color="B7B7B7"/>
              <w:right w:val="single" w:sz="8" w:space="0" w:color="B7B7B7"/>
            </w:tcBorders>
            <w:shd w:fill="auto" w:val="clear"/>
          </w:tcPr>
          <w:p>
            <w:pPr>
              <w:pStyle w:val="Normal1"/>
              <w:keepNext w:val="false"/>
              <w:keepLines w:val="false"/>
              <w:widowControl w:val="false"/>
              <w:pBdr/>
              <w:shd w:val="clear" w:fill="auto"/>
              <w:spacing w:lineRule="auto" w:line="240" w:before="0" w:after="0"/>
              <w:ind w:left="0" w:right="0" w:hanging="0"/>
              <w:jc w:val="center"/>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Unidad 2</w:t>
            </w:r>
          </w:p>
        </w:tc>
      </w:tr>
      <w:tr>
        <w:trPr/>
        <w:tc>
          <w:tcPr>
            <w:tcW w:w="1315" w:type="dxa"/>
            <w:tcBorders>
              <w:top w:val="single" w:sz="4" w:space="0" w:color="B7B7B7"/>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Saberes básicos</w:t>
            </w:r>
          </w:p>
        </w:tc>
        <w:tc>
          <w:tcPr>
            <w:tcW w:w="2248" w:type="dxa"/>
            <w:tcBorders>
              <w:top w:val="single" w:sz="4" w:space="0" w:color="B7B7B7"/>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Conocimientos, destrezas y actitudes</w:t>
            </w:r>
          </w:p>
        </w:tc>
        <w:tc>
          <w:tcPr>
            <w:tcW w:w="5730" w:type="dxa"/>
            <w:tcBorders>
              <w:top w:val="single" w:sz="4" w:space="0" w:color="B7B7B7"/>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Criterios de evaluación</w:t>
            </w:r>
          </w:p>
        </w:tc>
        <w:tc>
          <w:tcPr>
            <w:tcW w:w="1476" w:type="dxa"/>
            <w:tcBorders>
              <w:top w:val="single" w:sz="4" w:space="0" w:color="B7B7B7"/>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Competencias específicas</w:t>
            </w:r>
          </w:p>
        </w:tc>
      </w:tr>
      <w:tr>
        <w:trPr/>
        <w:tc>
          <w:tcPr>
            <w:tcW w:w="1315"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A. Las destrezas científicas básicas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B. La materia</w:t>
            </w:r>
          </w:p>
        </w:tc>
        <w:tc>
          <w:tcPr>
            <w:tcW w:w="2248"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Teoría cinético-molecular: aplicación a observaciones sobre la materia explicando sus propiedades, los estados de agregación, los cambios de estado y la formación de mezclas y disoluciones.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Trabajo experimental y proyectos de investigación: estrategias en la resolución de problemas y en el desarrollo de investigaciones mediante la indagación, la deducción, la búsqueda de evidencias y el razonamiento lógico-matemático, haciendo inferencias válidas de las observaciones y obteniendo conclusiones.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Metodologías de la investigación científica: identificación y formulación de cuestiones, elaboración de hipótesis y comprobación experimental de las mismas.</w:t>
            </w:r>
          </w:p>
        </w:tc>
        <w:tc>
          <w:tcPr>
            <w:tcW w:w="573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1.1. Identificar, comprender y explicar los fenómenos fisicoquímicos cotidianos más relevantes a partir de los principios, teorías y leyes científicas adecuadas, expresándolos, de manera argumentada, utilizando diversidad de soportes y medios de comunicación.</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1.2. Resolver los problemas fisicoquímicos planteados utilizando las leyes y teorías científicas adecuadas, razonando los procedimientos utilizados para encontrar las soluciones y expresando adecuadamente los resultados.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2.1. Emplear las metodologías propias de la ciencia en la identificación y descripción de fenómenos a partir de cuestiones a las que se pueda dar respuesta a través de la indagación, la deducción, el trabajo experimental y el razonamiento lógico-matemático, diferenciándolas de aquellas pseudocientíficas que no admiten comprobación experimental.</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2.3. Aplicar las leyes y teorías científicas conocidas al formular cuestiones e hipótesis, siendo coherente con el conocimiento científico existente y diseñando los procedimientos experimentales o deductivos necesarios para resolverlas o comprobarlas.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3.1. Emplear datos en diferentes formatos para interpretar y comunicar información relativa a un proceso fisicoquímico concreto, relacionando entre sí lo que cada uno de ellos contiene, y extrayendo en cada caso lo más relevante para la resolución de un problema.</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4.2. Trabajar de forma adecuada con medios variados, tradicionales y digitales, en la consulta de información y la creación de contenidos, seleccionando con criterio las fuentes más fiables y desechando las menos adecuadas y mejorando el aprendizaje propio y colectivo.</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6.2. Detectar en el entorno las necesidades tecnológicas, ambientales, económicas y sociales más importantes que demanda la sociedad, entendiendo la capacidad de la ciencia para darles solución sostenible a través de la implicación de toda la ciudadanía.</w:t>
            </w:r>
          </w:p>
        </w:tc>
        <w:tc>
          <w:tcPr>
            <w:tcW w:w="1476"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CE.FQ.2</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CE.FQ.1.</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CE.FQ.3.</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CE.FQ.4.</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CE.FQ.6.</w:t>
            </w:r>
          </w:p>
        </w:tc>
      </w:tr>
    </w:tbl>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r>
    </w:p>
    <w:tbl>
      <w:tblPr>
        <w:tblStyle w:val="Table5"/>
        <w:tblW w:w="10740" w:type="dxa"/>
        <w:jc w:val="left"/>
        <w:tblInd w:w="-1215" w:type="dxa"/>
        <w:tblCellMar>
          <w:top w:w="0" w:type="dxa"/>
          <w:left w:w="108" w:type="dxa"/>
          <w:bottom w:w="0" w:type="dxa"/>
          <w:right w:w="108" w:type="dxa"/>
        </w:tblCellMar>
        <w:tblLook w:val="0600"/>
      </w:tblPr>
      <w:tblGrid>
        <w:gridCol w:w="1159"/>
        <w:gridCol w:w="2385"/>
        <w:gridCol w:w="5845"/>
        <w:gridCol w:w="1350"/>
      </w:tblGrid>
      <w:tr>
        <w:trPr>
          <w:trHeight w:val="420" w:hRule="atLeast"/>
        </w:trPr>
        <w:tc>
          <w:tcPr>
            <w:tcW w:w="10739" w:type="dxa"/>
            <w:gridSpan w:val="4"/>
            <w:tcBorders>
              <w:top w:val="single" w:sz="8" w:space="0" w:color="B7B7B7"/>
              <w:left w:val="single" w:sz="8" w:space="0" w:color="B7B7B7"/>
              <w:bottom w:val="single" w:sz="4" w:space="0" w:color="B7B7B7"/>
              <w:right w:val="single" w:sz="8" w:space="0" w:color="B7B7B7"/>
            </w:tcBorders>
            <w:shd w:fill="auto" w:val="clear"/>
          </w:tcPr>
          <w:p>
            <w:pPr>
              <w:pStyle w:val="Normal1"/>
              <w:keepNext w:val="false"/>
              <w:keepLines w:val="false"/>
              <w:widowControl w:val="false"/>
              <w:pBdr/>
              <w:shd w:val="clear" w:fill="auto"/>
              <w:spacing w:lineRule="auto" w:line="240" w:before="0" w:after="0"/>
              <w:ind w:left="0" w:right="0" w:hanging="0"/>
              <w:jc w:val="center"/>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Unidad 3</w:t>
            </w:r>
          </w:p>
        </w:tc>
      </w:tr>
      <w:tr>
        <w:trPr/>
        <w:tc>
          <w:tcPr>
            <w:tcW w:w="1159" w:type="dxa"/>
            <w:tcBorders>
              <w:top w:val="single" w:sz="4" w:space="0" w:color="B7B7B7"/>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Saberes básicos</w:t>
            </w:r>
          </w:p>
        </w:tc>
        <w:tc>
          <w:tcPr>
            <w:tcW w:w="2385" w:type="dxa"/>
            <w:tcBorders>
              <w:top w:val="single" w:sz="4" w:space="0" w:color="B7B7B7"/>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Conocimientos, destrezas y actitudes</w:t>
            </w:r>
          </w:p>
        </w:tc>
        <w:tc>
          <w:tcPr>
            <w:tcW w:w="5845" w:type="dxa"/>
            <w:tcBorders>
              <w:top w:val="single" w:sz="4" w:space="0" w:color="B7B7B7"/>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Criterios de evaluación</w:t>
            </w:r>
          </w:p>
        </w:tc>
        <w:tc>
          <w:tcPr>
            <w:tcW w:w="1350" w:type="dxa"/>
            <w:tcBorders>
              <w:top w:val="single" w:sz="4" w:space="0" w:color="B7B7B7"/>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Competencias específicas</w:t>
            </w:r>
          </w:p>
        </w:tc>
      </w:tr>
      <w:tr>
        <w:trPr/>
        <w:tc>
          <w:tcPr>
            <w:tcW w:w="1159"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B. La materia</w:t>
            </w:r>
          </w:p>
        </w:tc>
        <w:tc>
          <w:tcPr>
            <w:tcW w:w="2385"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Experimentos relacionados con los sistemas materiales: conocimiento y descripción de sus propiedades, su composición y su clasificación.</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Estructura atómica: desarrollo histórico de los modelos atómicos, existencia, formación y propiedades de los isótopos y ordenación de los elementos en la tabla periódica.</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Nomenclatura: participación de un lenguaje científico común y universal formulando y nombrando sustancias simples, iones monoatómicos y compuestos binarios mediante las reglas de nomenclatura de la IUPAC.</w:t>
            </w:r>
          </w:p>
        </w:tc>
        <w:tc>
          <w:tcPr>
            <w:tcW w:w="5845"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1.1. Identificar, comprender y explicar los fenómenos fisicoquímicos cotidianos más relevantes a partir de los principios, teorías y leyes científicas adecuadas, expresándolos, de manera argumentada, utilizando diversidad de soportes y medios de comunicación.</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1.2. Resolver los problemas fisicoquímicos planteados utilizando las leyes y teorías científicas adecuadas, razonando los procedimientos utilizados para encontrar las soluciones y expresando adecuadamente los resultados.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2.3. Aplicar las leyes y teorías científicas conocidas al formular cuestiones e hipótesis, siendo coherente con el conocimiento científico existente y diseñando los procedimientos experimentales o deductivos necesarios para resolverlas o comprobarlas.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3.1. Emplear datos en diferentes formatos para interpretar y comunicar información relativa a un proceso fisicoquímico concreto, relacionando entre sí lo que cada uno de ellos contiene, y extrayendo en cada caso lo más relevante para la resolución de un problema.</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3.2. Utilizar adecuadamente las reglas básicas de la física y la química, incluyendo el uso de unidades de medida, las herramientas matemáticas y las reglas de nomenclatura, consiguiendo una comunicación efectiva con toda la comunidad científica.</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p>
        </w:tc>
        <w:tc>
          <w:tcPr>
            <w:tcW w:w="135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CE.FQ.2</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CE.FQ.1.</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CE.FQ.3.</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CE.FQ.6.</w:t>
            </w:r>
          </w:p>
        </w:tc>
      </w:tr>
    </w:tbl>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r>
    </w:p>
    <w:tbl>
      <w:tblPr>
        <w:tblStyle w:val="Table6"/>
        <w:tblW w:w="10755" w:type="dxa"/>
        <w:jc w:val="left"/>
        <w:tblInd w:w="-1110" w:type="dxa"/>
        <w:tblCellMar>
          <w:top w:w="0" w:type="dxa"/>
          <w:left w:w="108" w:type="dxa"/>
          <w:bottom w:w="0" w:type="dxa"/>
          <w:right w:w="108" w:type="dxa"/>
        </w:tblCellMar>
        <w:tblLook w:val="0600"/>
      </w:tblPr>
      <w:tblGrid>
        <w:gridCol w:w="910"/>
        <w:gridCol w:w="1960"/>
        <w:gridCol w:w="6536"/>
        <w:gridCol w:w="1348"/>
      </w:tblGrid>
      <w:tr>
        <w:trPr>
          <w:trHeight w:val="420" w:hRule="atLeast"/>
        </w:trPr>
        <w:tc>
          <w:tcPr>
            <w:tcW w:w="10754" w:type="dxa"/>
            <w:gridSpan w:val="4"/>
            <w:tcBorders>
              <w:top w:val="single" w:sz="8" w:space="0" w:color="CCCCCC"/>
              <w:left w:val="single" w:sz="8" w:space="0" w:color="CCCCCC"/>
              <w:bottom w:val="single" w:sz="8" w:space="0" w:color="CCCCCC"/>
              <w:right w:val="single" w:sz="8" w:space="0" w:color="CCCCCC"/>
            </w:tcBorders>
            <w:shd w:fill="auto" w:val="clear"/>
          </w:tcPr>
          <w:p>
            <w:pPr>
              <w:pStyle w:val="Normal1"/>
              <w:keepNext w:val="false"/>
              <w:keepLines w:val="false"/>
              <w:widowControl w:val="false"/>
              <w:pBdr/>
              <w:shd w:val="clear" w:fill="auto"/>
              <w:spacing w:lineRule="auto" w:line="240" w:before="0" w:after="0"/>
              <w:ind w:left="0" w:right="0" w:hanging="0"/>
              <w:jc w:val="center"/>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Unidad 4</w:t>
            </w:r>
          </w:p>
        </w:tc>
      </w:tr>
      <w:tr>
        <w:trPr/>
        <w:tc>
          <w:tcPr>
            <w:tcW w:w="91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Saberes básicos</w:t>
            </w:r>
          </w:p>
        </w:tc>
        <w:tc>
          <w:tcPr>
            <w:tcW w:w="196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Conocimientos, destrezas y actitudes</w:t>
            </w:r>
          </w:p>
        </w:tc>
        <w:tc>
          <w:tcPr>
            <w:tcW w:w="6536"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Criterios de evaluación</w:t>
            </w:r>
          </w:p>
        </w:tc>
        <w:tc>
          <w:tcPr>
            <w:tcW w:w="1348"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Competencias específicas</w:t>
            </w:r>
          </w:p>
        </w:tc>
      </w:tr>
      <w:tr>
        <w:trPr/>
        <w:tc>
          <w:tcPr>
            <w:tcW w:w="91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B. La materia</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E. El cambio</w:t>
            </w:r>
          </w:p>
        </w:tc>
        <w:tc>
          <w:tcPr>
            <w:tcW w:w="196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Experimentos relacionados con los sistemas materiales: conocimiento y descripción de sus propiedades, su composición y su clasificación.</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Los sistemas materiales: análisis de los diferentes tipos de cambios que experimentan, relacionando las causas que los producen con las consecuencias que tienen.</w:t>
            </w:r>
          </w:p>
        </w:tc>
        <w:tc>
          <w:tcPr>
            <w:tcW w:w="6536"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1.1. Identificar, comprender y explicar los fenómenos fisicoquímicos cotidianos más relevantes a partir de los principios, teorías y leyes científicas adecuadas, expresándolos, de manera argumentada, utilizando diversidad de soportes y medios de comunicación.</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1.2. Resolver los problemas fisicoquímicos planteados utilizando las leyes y teorías científicas adecuadas, razonando los procedimientos utilizados para encontrar las soluciones y expresando adecuadamente los resultados.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2.3. Aplicar las leyes y teorías científicas conocidas al formular cuestiones e hipótesis, siendo coherente con el conocimiento científico existente y diseñando los procedimientos experimentales o deductivos necesarios para resolverlas o comprobarlas.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3.1. Emplear datos en diferentes formatos para interpretar y comunicar información relativa a un proceso fisicoquímico concreto, relacionando entre sí lo que cada uno de ellos contiene, y extrayendo en cada caso lo más relevante para la resolución de un problema.</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6.2. Detectar en el entorno las necesidades tecnológicas, ambientales, económicas y sociales más importantes que demanda la sociedad, entendiendo la capacidad de la ciencia para darles solución sostenible a través de la implicación de toda la ciudadanía.</w:t>
            </w:r>
          </w:p>
        </w:tc>
        <w:tc>
          <w:tcPr>
            <w:tcW w:w="1348"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CE.FQ.2</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CE.FQ.1.</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CE.FQ.3.</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CE.FQ.6.</w:t>
            </w:r>
          </w:p>
        </w:tc>
      </w:tr>
    </w:tbl>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r>
    </w:p>
    <w:tbl>
      <w:tblPr>
        <w:tblStyle w:val="Table7"/>
        <w:tblW w:w="10680" w:type="dxa"/>
        <w:jc w:val="left"/>
        <w:tblInd w:w="-1066" w:type="dxa"/>
        <w:tblCellMar>
          <w:top w:w="0" w:type="dxa"/>
          <w:left w:w="108" w:type="dxa"/>
          <w:bottom w:w="0" w:type="dxa"/>
          <w:right w:w="108" w:type="dxa"/>
        </w:tblCellMar>
        <w:tblLook w:val="0600"/>
      </w:tblPr>
      <w:tblGrid>
        <w:gridCol w:w="1079"/>
        <w:gridCol w:w="1965"/>
        <w:gridCol w:w="6286"/>
        <w:gridCol w:w="1349"/>
      </w:tblGrid>
      <w:tr>
        <w:trPr>
          <w:trHeight w:val="420" w:hRule="atLeast"/>
        </w:trPr>
        <w:tc>
          <w:tcPr>
            <w:tcW w:w="10679" w:type="dxa"/>
            <w:gridSpan w:val="4"/>
            <w:tcBorders>
              <w:top w:val="single" w:sz="8" w:space="0" w:color="CCCCCC"/>
              <w:left w:val="single" w:sz="8" w:space="0" w:color="CCCCCC"/>
              <w:bottom w:val="single" w:sz="4" w:space="0" w:color="CCCCCC"/>
              <w:right w:val="single" w:sz="8" w:space="0" w:color="CCCCCC"/>
            </w:tcBorders>
            <w:shd w:fill="auto" w:val="clear"/>
          </w:tcPr>
          <w:p>
            <w:pPr>
              <w:pStyle w:val="Normal1"/>
              <w:keepNext w:val="false"/>
              <w:keepLines w:val="false"/>
              <w:widowControl w:val="false"/>
              <w:pBdr/>
              <w:shd w:val="clear" w:fill="auto"/>
              <w:spacing w:lineRule="auto" w:line="240" w:before="0" w:after="0"/>
              <w:ind w:left="0" w:right="0" w:hanging="0"/>
              <w:jc w:val="center"/>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Unidad 5</w:t>
            </w:r>
          </w:p>
        </w:tc>
      </w:tr>
      <w:tr>
        <w:trPr/>
        <w:tc>
          <w:tcPr>
            <w:tcW w:w="1079"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Saberes básicos</w:t>
            </w:r>
          </w:p>
        </w:tc>
        <w:tc>
          <w:tcPr>
            <w:tcW w:w="1965"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Conocimientos, destrezas y actitudes</w:t>
            </w:r>
          </w:p>
        </w:tc>
        <w:tc>
          <w:tcPr>
            <w:tcW w:w="6286"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Criterios de evaluación</w:t>
            </w:r>
          </w:p>
        </w:tc>
        <w:tc>
          <w:tcPr>
            <w:tcW w:w="1349"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Competencias específicas</w:t>
            </w:r>
          </w:p>
        </w:tc>
      </w:tr>
      <w:tr>
        <w:trPr/>
        <w:tc>
          <w:tcPr>
            <w:tcW w:w="1079"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 La interacción</w:t>
            </w:r>
          </w:p>
        </w:tc>
        <w:tc>
          <w:tcPr>
            <w:tcW w:w="1965"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Las fuerzas como agentes de cambio: relación de los efectos de las fuerzas, tanto en el estado de movimiento o de reposo de un cuerpo como produciendo deformaciones en los sistemas sobre los que actúan.</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Aplicación de las leyes de Newton: observación de situaciones cotidianas y de laboratorio que permiten entender cómo se comportan los sistemas materiales ante la acción de las fuerzas y predecir los efectos de estas en situaciones cotidianas y de seguridad vial.</w:t>
            </w:r>
          </w:p>
        </w:tc>
        <w:tc>
          <w:tcPr>
            <w:tcW w:w="6286"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1.1. Identificar, comprender y explicar los fenómenos fisicoquímicos cotidianos más relevantes a partir de los principios, teorías y leyes científicas adecuadas, expresándolos, de manera argumentada, utilizando diversidad de soportes y medios de comunicación.</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1.2. Resolver los problemas fisicoquímicos planteados utilizando las leyes y teorías científicas adecuadas, razonando los procedimientos utilizados para encontrar las soluciones y expresando adecuadamente los resultados.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2.3. Aplicar las leyes y teorías científicas conocidas al formular cuestiones e hipótesis, siendo coherente con el conocimiento científico existente y diseñando los procedimientos experimentales o deductivos necesarios para resolverlas o comprobarlas.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4.1. Utilizar recursos variados, tradicionales y digitales, mejorando el aprendizaje autónomo y la interacción con otros miembros de la comunidad educativa, con respeto hacia docentes y estudiantes y analizando críticamente las aportaciones de cada participante.</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5.1. Establecer interacciones constructivas y coeducativas, emprendiendo actividades de cooperación como forma de construir un medio de trabajo eficiente en la ciencia.</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p>
        </w:tc>
        <w:tc>
          <w:tcPr>
            <w:tcW w:w="1349"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CE.FQ.2</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CE.FQ.1.</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CE.FQ.4.</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CE.FQ.5.</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CE.FQ.6.</w:t>
            </w:r>
          </w:p>
        </w:tc>
      </w:tr>
    </w:tbl>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r>
    </w:p>
    <w:tbl>
      <w:tblPr>
        <w:tblStyle w:val="Table8"/>
        <w:tblW w:w="10665" w:type="dxa"/>
        <w:jc w:val="left"/>
        <w:tblInd w:w="-1080" w:type="dxa"/>
        <w:tblCellMar>
          <w:top w:w="0" w:type="dxa"/>
          <w:left w:w="108" w:type="dxa"/>
          <w:bottom w:w="0" w:type="dxa"/>
          <w:right w:w="108" w:type="dxa"/>
        </w:tblCellMar>
        <w:tblLook w:val="0600"/>
      </w:tblPr>
      <w:tblGrid>
        <w:gridCol w:w="1079"/>
        <w:gridCol w:w="3494"/>
        <w:gridCol w:w="4742"/>
        <w:gridCol w:w="1349"/>
      </w:tblGrid>
      <w:tr>
        <w:trPr>
          <w:trHeight w:val="420" w:hRule="atLeast"/>
        </w:trPr>
        <w:tc>
          <w:tcPr>
            <w:tcW w:w="10664" w:type="dxa"/>
            <w:gridSpan w:val="4"/>
            <w:tcBorders>
              <w:top w:val="single" w:sz="8" w:space="0" w:color="CCCCCC"/>
              <w:left w:val="single" w:sz="8" w:space="0" w:color="CCCCCC"/>
              <w:bottom w:val="single" w:sz="4" w:space="0" w:color="CCCCCC"/>
              <w:right w:val="single" w:sz="8" w:space="0" w:color="CCCCCC"/>
            </w:tcBorders>
            <w:shd w:fill="auto" w:val="clear"/>
          </w:tcPr>
          <w:p>
            <w:pPr>
              <w:pStyle w:val="Normal1"/>
              <w:keepNext w:val="false"/>
              <w:keepLines w:val="false"/>
              <w:widowControl w:val="false"/>
              <w:pBdr/>
              <w:shd w:val="clear" w:fill="auto"/>
              <w:spacing w:lineRule="auto" w:line="240" w:before="0" w:after="0"/>
              <w:ind w:left="0" w:right="0" w:hanging="0"/>
              <w:jc w:val="center"/>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Unidad 6</w:t>
            </w:r>
          </w:p>
        </w:tc>
      </w:tr>
      <w:tr>
        <w:trPr/>
        <w:tc>
          <w:tcPr>
            <w:tcW w:w="1079"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Saberes básicos</w:t>
            </w:r>
          </w:p>
        </w:tc>
        <w:tc>
          <w:tcPr>
            <w:tcW w:w="3494"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Conocimientos, destrezas y actitudes</w:t>
            </w:r>
          </w:p>
        </w:tc>
        <w:tc>
          <w:tcPr>
            <w:tcW w:w="4742"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Criterios de evaluación</w:t>
            </w:r>
          </w:p>
        </w:tc>
        <w:tc>
          <w:tcPr>
            <w:tcW w:w="1349"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Competencias específicas</w:t>
            </w:r>
          </w:p>
        </w:tc>
      </w:tr>
      <w:tr>
        <w:trPr/>
        <w:tc>
          <w:tcPr>
            <w:tcW w:w="1079"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A. Las destrezas científicas básicas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 La interacción</w:t>
            </w:r>
          </w:p>
        </w:tc>
        <w:tc>
          <w:tcPr>
            <w:tcW w:w="3494"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Predicción de movimientos sencillos a partir de los conceptos de la cinemática, formulando hipótesis comprobables sobre valores futuros de estas magnitudes, validándolas a través del cálculo numérico, la interpretación de gráficas o el trabajo experimental.</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Trabajo experimental y proyectos de investigación: estrategias en la resolución de problemas y en el desarrollo de investigaciones mediante la indagación, la deducción, la búsqueda de evidencias y el razonamiento lógico-matemático, haciendo inferencias válidas de las observaciones y obteniendo conclusiones.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Metodologías de la investigación científica: identificación y formulación de cuestiones, elaboración de hipótesis y comprobación experimental de las mismas.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Normas de uso de cada espacio, asegurando y protegiendo así la salud propia y comunitaria, la seguridad en redes y el respeto hacia el medio ambiente.</w:t>
            </w:r>
          </w:p>
        </w:tc>
        <w:tc>
          <w:tcPr>
            <w:tcW w:w="4742"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1.1. Identificar, comprender y explicar los fenómenos fisicoquímicos cotidianos más relevantes a partir de los principios, teorías y leyes científicas adecuadas, expresándolos, de manera argumentada, utilizando diversidad de soportes y medios de comunicación.</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1.2. Resolver los problemas fisicoquímicos planteados utilizando las leyes y teorías científicas adecuadas, razonando los procedimientos utilizados para encontrar las soluciones y expresando adecuadamente los resultados.1.3.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2.3. Aplicar las leyes y teorías científicas conocidas al formular cuestiones e hipótesis, siendo coherente con el conocimiento científico existente y diseñando los procedimientos experimentales o deductivos necesarios para resolverlas o comprobarlas.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4.2. Trabajar de forma adecuada con medios variados, tradicionales y digitales, en la consulta de información y la creación de contenidos, seleccionando con criterio las fuentes más fiables y desechando las menos adecuadas y mejorando el aprendizaje propio y colectivo.</w:t>
            </w:r>
          </w:p>
        </w:tc>
        <w:tc>
          <w:tcPr>
            <w:tcW w:w="1349"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CE.FQ.2</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CE.FQ.1.</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CE.FQ.4.</w:t>
            </w:r>
          </w:p>
        </w:tc>
      </w:tr>
    </w:tbl>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r>
    </w:p>
    <w:tbl>
      <w:tblPr>
        <w:tblStyle w:val="Table9"/>
        <w:tblW w:w="10590" w:type="dxa"/>
        <w:jc w:val="left"/>
        <w:tblInd w:w="-1066" w:type="dxa"/>
        <w:tblCellMar>
          <w:top w:w="0" w:type="dxa"/>
          <w:left w:w="108" w:type="dxa"/>
          <w:bottom w:w="0" w:type="dxa"/>
          <w:right w:w="108" w:type="dxa"/>
        </w:tblCellMar>
        <w:tblLook w:val="0600"/>
      </w:tblPr>
      <w:tblGrid>
        <w:gridCol w:w="1079"/>
        <w:gridCol w:w="1960"/>
        <w:gridCol w:w="6200"/>
        <w:gridCol w:w="1350"/>
      </w:tblGrid>
      <w:tr>
        <w:trPr>
          <w:trHeight w:val="420" w:hRule="atLeast"/>
        </w:trPr>
        <w:tc>
          <w:tcPr>
            <w:tcW w:w="10589" w:type="dxa"/>
            <w:gridSpan w:val="4"/>
            <w:tcBorders>
              <w:top w:val="single" w:sz="8" w:space="0" w:color="CCCCCC"/>
              <w:left w:val="single" w:sz="8" w:space="0" w:color="CCCCCC"/>
              <w:bottom w:val="single" w:sz="8" w:space="0" w:color="CCCCCC"/>
              <w:right w:val="single" w:sz="8" w:space="0" w:color="CCCCCC"/>
            </w:tcBorders>
            <w:shd w:fill="auto" w:val="clear"/>
          </w:tcPr>
          <w:p>
            <w:pPr>
              <w:pStyle w:val="Normal1"/>
              <w:keepNext w:val="false"/>
              <w:keepLines w:val="false"/>
              <w:widowControl w:val="false"/>
              <w:pBdr/>
              <w:shd w:val="clear" w:fill="auto"/>
              <w:spacing w:lineRule="auto" w:line="240" w:before="0" w:after="0"/>
              <w:ind w:left="0" w:right="0" w:hanging="0"/>
              <w:jc w:val="center"/>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Unidad 7</w:t>
            </w:r>
          </w:p>
        </w:tc>
      </w:tr>
      <w:tr>
        <w:trPr/>
        <w:tc>
          <w:tcPr>
            <w:tcW w:w="1079"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Saberes básicos</w:t>
            </w:r>
          </w:p>
        </w:tc>
        <w:tc>
          <w:tcPr>
            <w:tcW w:w="196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Conocimientos, destrezas y actitudes</w:t>
            </w:r>
          </w:p>
        </w:tc>
        <w:tc>
          <w:tcPr>
            <w:tcW w:w="620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Criterios de evaluación</w:t>
            </w:r>
          </w:p>
        </w:tc>
        <w:tc>
          <w:tcPr>
            <w:tcW w:w="135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Competencias específicas</w:t>
            </w:r>
          </w:p>
        </w:tc>
      </w:tr>
      <w:tr>
        <w:trPr/>
        <w:tc>
          <w:tcPr>
            <w:tcW w:w="1079"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 La interacción</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D. La energía</w:t>
            </w:r>
          </w:p>
        </w:tc>
        <w:tc>
          <w:tcPr>
            <w:tcW w:w="196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Fenómenos gravitatorios eléctricos y magnéticos: experimentos sencillos que evidencian la relación con las fuerzas de la naturaleza.</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Naturaleza eléctrica de la materia: electrización de los cuerpos, circuitos eléctricos y la obtención de energía eléctrica. Concienciación sobre la necesidad del ahorro energético y la conservación sostenible del medio ambiente.</w:t>
            </w:r>
          </w:p>
        </w:tc>
        <w:tc>
          <w:tcPr>
            <w:tcW w:w="620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1.1. Identificar, comprender y explicar los fenómenos fisicoquímicos cotidianos más relevantes a partir de los principios, teorías y leyes científicas adecuadas, expresándolos, de manera argumentada, utilizando diversidad de soportes y medios de comunicación.</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1.2. Resolver los problemas fisicoquímicos planteados utilizando las leyes y teorías científicas adecuadas, razonando los procedimientos utilizados para encontrar las soluciones y expresando adecuadamente los resultados.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2.3. Aplicar las leyes y teorías científicas conocidas al formular cuestiones e hipótesis, siendo coherente con el conocimiento científico existente y diseñando los procedimientos experimentales o deductivos necesarios para resolverlas o comprobarlas.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6.2. Detectar en el entorno las necesidades tecnológicas, ambientales, económicas y sociales más importantes que demanda la sociedad, entendiendo la capacidad de la ciencia para darles solución sostenible a través de la implicación de toda la ciudadanía.</w:t>
            </w:r>
          </w:p>
        </w:tc>
        <w:tc>
          <w:tcPr>
            <w:tcW w:w="135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CE.FQ.2</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CE.FQ.1.</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CE.FQ.6.</w:t>
            </w:r>
          </w:p>
        </w:tc>
      </w:tr>
    </w:tbl>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r>
    </w:p>
    <w:tbl>
      <w:tblPr>
        <w:tblStyle w:val="Table10"/>
        <w:tblW w:w="10560" w:type="dxa"/>
        <w:jc w:val="left"/>
        <w:tblInd w:w="-1066" w:type="dxa"/>
        <w:tblCellMar>
          <w:top w:w="0" w:type="dxa"/>
          <w:left w:w="108" w:type="dxa"/>
          <w:bottom w:w="0" w:type="dxa"/>
          <w:right w:w="108" w:type="dxa"/>
        </w:tblCellMar>
        <w:tblLook w:val="0600"/>
      </w:tblPr>
      <w:tblGrid>
        <w:gridCol w:w="1079"/>
        <w:gridCol w:w="3231"/>
        <w:gridCol w:w="4900"/>
        <w:gridCol w:w="1349"/>
      </w:tblGrid>
      <w:tr>
        <w:trPr>
          <w:trHeight w:val="420" w:hRule="atLeast"/>
        </w:trPr>
        <w:tc>
          <w:tcPr>
            <w:tcW w:w="10559" w:type="dxa"/>
            <w:gridSpan w:val="4"/>
            <w:tcBorders>
              <w:top w:val="single" w:sz="8" w:space="0" w:color="CCCCCC"/>
              <w:left w:val="single" w:sz="8" w:space="0" w:color="CCCCCC"/>
              <w:bottom w:val="single" w:sz="8" w:space="0" w:color="CCCCCC"/>
              <w:right w:val="single" w:sz="8" w:space="0" w:color="CCCCCC"/>
            </w:tcBorders>
            <w:shd w:fill="auto" w:val="clear"/>
          </w:tcPr>
          <w:p>
            <w:pPr>
              <w:pStyle w:val="Normal1"/>
              <w:keepNext w:val="false"/>
              <w:keepLines w:val="false"/>
              <w:widowControl w:val="false"/>
              <w:pBdr/>
              <w:shd w:val="clear" w:fill="auto"/>
              <w:spacing w:lineRule="auto" w:line="240" w:before="0" w:after="0"/>
              <w:ind w:left="0" w:right="0" w:hanging="0"/>
              <w:jc w:val="center"/>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Unidad 8</w:t>
            </w:r>
          </w:p>
        </w:tc>
      </w:tr>
      <w:tr>
        <w:trPr/>
        <w:tc>
          <w:tcPr>
            <w:tcW w:w="1079"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Saberes básicos</w:t>
            </w:r>
          </w:p>
        </w:tc>
        <w:tc>
          <w:tcPr>
            <w:tcW w:w="3231"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Conocimientos, destrezas y actitudes</w:t>
            </w:r>
          </w:p>
        </w:tc>
        <w:tc>
          <w:tcPr>
            <w:tcW w:w="490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Criterios de evaluación</w:t>
            </w:r>
          </w:p>
        </w:tc>
        <w:tc>
          <w:tcPr>
            <w:tcW w:w="1349"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Competencias específicas</w:t>
            </w:r>
          </w:p>
        </w:tc>
      </w:tr>
      <w:tr>
        <w:trPr/>
        <w:tc>
          <w:tcPr>
            <w:tcW w:w="1079"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A. Las destrezas científicas básicas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 La interacción</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D. La energía</w:t>
            </w:r>
          </w:p>
        </w:tc>
        <w:tc>
          <w:tcPr>
            <w:tcW w:w="3231"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Diseño y comprobación experimental de hipótesis relacionadas con el uso doméstico e industrial de la energía en sus distintas formas, las transformaciones entre ellas, las principales formas de ahorro energético y el concepto de ahorro energético.</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La energía: formulación de cuestiones e hipótesis sobre la energía, propiedades y manifestaciones que la describan como la causa de todos los procesos de cambio.</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Diseño y comprobación experimental de hipótesis relacionadas con el uso doméstico e industrial de la energía en sus distintas formas y las transformaciones entre ellas.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Elaboración fundamentada de hipótesis sobre el medio ambiente y la sostenibilidad a partir de las diferencias entre fuentes de energía renovables y no renovables.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Valoración de la cultura científica y del papel de científicos y científicas en los principales hitos históricos y actuales de la física y la química para el avance y la mejora de la sociedad.</w:t>
            </w:r>
          </w:p>
        </w:tc>
        <w:tc>
          <w:tcPr>
            <w:tcW w:w="490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1.1. Identificar, comprender y explicar los fenómenos fisicoquímicos cotidianos más relevantes a partir de los principios, teorías y leyes científicas adecuadas, expresándolos, de manera argumentada, utilizando diversidad de soportes y medios de comunicación.</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1.2. Resolver los problemas fisicoquímicos planteados utilizando las leyes y teorías científicas adecuadas, razonando los procedimientos utilizados para encontrar las soluciones y expresando adecuadamente los resultados.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2.3. Aplicar las leyes y teorías científicas conocidas al formular cuestiones e hipótesis, siendo coherente con el conocimiento científico existente y diseñando los procedimientos experimentales o deductivos necesarios para resolverlas o comprobarlas.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5.2. Emprender, de forma guiada y de acuerdo a la metodología adecuada, proyectos científicos que involucren al alumnado en la mejora de la sociedad y que creen valor para el individuo y para la comunidad.</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6.2. Detectar en el entorno las necesidades tecnológicas, ambientales, económicas y sociales más importantes que demanda la sociedad, entendiendo la capacidad de la ciencia para darles solución sostenible a través de la implicación de toda la ciudadanía.</w:t>
            </w:r>
          </w:p>
        </w:tc>
        <w:tc>
          <w:tcPr>
            <w:tcW w:w="1349"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CE.FQ.2</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CE.FQ.1.</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CE.FQ.5.</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CE.FQ.6.</w:t>
            </w:r>
          </w:p>
        </w:tc>
      </w:tr>
    </w:tbl>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r>
    </w:p>
    <w:tbl>
      <w:tblPr>
        <w:tblStyle w:val="Table11"/>
        <w:tblW w:w="10545" w:type="dxa"/>
        <w:jc w:val="left"/>
        <w:tblInd w:w="-1080" w:type="dxa"/>
        <w:tblCellMar>
          <w:top w:w="0" w:type="dxa"/>
          <w:left w:w="108" w:type="dxa"/>
          <w:bottom w:w="0" w:type="dxa"/>
          <w:right w:w="108" w:type="dxa"/>
        </w:tblCellMar>
        <w:tblLook w:val="0600"/>
      </w:tblPr>
      <w:tblGrid>
        <w:gridCol w:w="834"/>
        <w:gridCol w:w="2014"/>
        <w:gridCol w:w="6346"/>
        <w:gridCol w:w="1350"/>
      </w:tblGrid>
      <w:tr>
        <w:trPr>
          <w:trHeight w:val="420" w:hRule="atLeast"/>
        </w:trPr>
        <w:tc>
          <w:tcPr>
            <w:tcW w:w="10544" w:type="dxa"/>
            <w:gridSpan w:val="4"/>
            <w:tcBorders>
              <w:top w:val="single" w:sz="8" w:space="0" w:color="CCCCCC"/>
              <w:left w:val="single" w:sz="8" w:space="0" w:color="CCCCCC"/>
              <w:bottom w:val="single" w:sz="8" w:space="0" w:color="CCCCCC"/>
              <w:right w:val="single" w:sz="8" w:space="0" w:color="CCCCCC"/>
            </w:tcBorders>
            <w:shd w:fill="auto" w:val="clear"/>
          </w:tcPr>
          <w:p>
            <w:pPr>
              <w:pStyle w:val="Normal1"/>
              <w:keepNext w:val="false"/>
              <w:keepLines w:val="false"/>
              <w:widowControl w:val="false"/>
              <w:pBdr/>
              <w:shd w:val="clear" w:fill="auto"/>
              <w:spacing w:lineRule="auto" w:line="240" w:before="0" w:after="0"/>
              <w:ind w:left="0" w:right="0" w:hanging="0"/>
              <w:jc w:val="center"/>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Unidad 9</w:t>
            </w:r>
          </w:p>
        </w:tc>
      </w:tr>
      <w:tr>
        <w:trPr/>
        <w:tc>
          <w:tcPr>
            <w:tcW w:w="834"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Saberes básicos</w:t>
            </w:r>
          </w:p>
        </w:tc>
        <w:tc>
          <w:tcPr>
            <w:tcW w:w="2014"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Conocimientos, destrezas y actitudes</w:t>
            </w:r>
          </w:p>
        </w:tc>
        <w:tc>
          <w:tcPr>
            <w:tcW w:w="6346"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Criterios de evaluación</w:t>
            </w:r>
          </w:p>
        </w:tc>
        <w:tc>
          <w:tcPr>
            <w:tcW w:w="135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Competencias específicas</w:t>
            </w:r>
          </w:p>
        </w:tc>
      </w:tr>
      <w:tr>
        <w:trPr/>
        <w:tc>
          <w:tcPr>
            <w:tcW w:w="834"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D. La energía</w:t>
            </w:r>
          </w:p>
        </w:tc>
        <w:tc>
          <w:tcPr>
            <w:tcW w:w="2014"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Naturaleza eléctrica de la materia: electrización de los cuerpos, circuitos eléctricos y la obtención de energía eléctrica. Concienciación sobre la necesidad del ahorro energético y la conservación sostenible del medio ambiente.</w:t>
            </w:r>
          </w:p>
        </w:tc>
        <w:tc>
          <w:tcPr>
            <w:tcW w:w="6346"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1.1. Identificar, comprender y explicar los fenómenos fisicoquímicos cotidianos más relevantes a partir de los principios, teorías y leyes científicas adecuadas, expresándolos, de manera argumentada, utilizando diversidad de soportes y medios de comunicación.</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1.2. Resolver los problemas fisicoquímicos planteados utilizando las leyes y teorías científicas adecuadas, razonando los procedimientos utilizados para encontrar las soluciones y expresando adecuadamente los resultados.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5.1. Establecer interacciones constructivas y coeducativas, emprendiendo actividades de cooperación como forma de construir un medio de trabajo eficiente en la ciencia.</w:t>
            </w:r>
          </w:p>
        </w:tc>
        <w:tc>
          <w:tcPr>
            <w:tcW w:w="135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CE.FQ.1.</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CE.FQ.5.</w:t>
            </w:r>
          </w:p>
        </w:tc>
      </w:tr>
    </w:tbl>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r>
    </w:p>
    <w:tbl>
      <w:tblPr>
        <w:tblStyle w:val="Table12"/>
        <w:tblW w:w="10515" w:type="dxa"/>
        <w:jc w:val="left"/>
        <w:tblInd w:w="-1080" w:type="dxa"/>
        <w:tblCellMar>
          <w:top w:w="0" w:type="dxa"/>
          <w:left w:w="108" w:type="dxa"/>
          <w:bottom w:w="0" w:type="dxa"/>
          <w:right w:w="108" w:type="dxa"/>
        </w:tblCellMar>
        <w:tblLook w:val="0600"/>
      </w:tblPr>
      <w:tblGrid>
        <w:gridCol w:w="840"/>
        <w:gridCol w:w="1896"/>
        <w:gridCol w:w="6428"/>
        <w:gridCol w:w="1350"/>
      </w:tblGrid>
      <w:tr>
        <w:trPr>
          <w:trHeight w:val="420" w:hRule="atLeast"/>
        </w:trPr>
        <w:tc>
          <w:tcPr>
            <w:tcW w:w="10514" w:type="dxa"/>
            <w:gridSpan w:val="4"/>
            <w:tcBorders>
              <w:top w:val="single" w:sz="8" w:space="0" w:color="CCCCCC"/>
              <w:left w:val="single" w:sz="8" w:space="0" w:color="CCCCCC"/>
              <w:bottom w:val="single" w:sz="8" w:space="0" w:color="CCCCCC"/>
              <w:right w:val="single" w:sz="8" w:space="0" w:color="CCCCCC"/>
            </w:tcBorders>
            <w:shd w:fill="auto" w:val="clear"/>
          </w:tcPr>
          <w:p>
            <w:pPr>
              <w:pStyle w:val="Normal1"/>
              <w:keepNext w:val="false"/>
              <w:keepLines w:val="false"/>
              <w:widowControl w:val="false"/>
              <w:pBdr/>
              <w:shd w:val="clear" w:fill="auto"/>
              <w:spacing w:lineRule="auto" w:line="240" w:before="0" w:after="0"/>
              <w:ind w:left="0" w:right="0" w:hanging="0"/>
              <w:jc w:val="center"/>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Unidad 10</w:t>
            </w:r>
          </w:p>
        </w:tc>
      </w:tr>
      <w:tr>
        <w:trPr/>
        <w:tc>
          <w:tcPr>
            <w:tcW w:w="84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Saberes básicos</w:t>
            </w:r>
          </w:p>
        </w:tc>
        <w:tc>
          <w:tcPr>
            <w:tcW w:w="1896"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Conocimientos, destrezas y actitudes</w:t>
            </w:r>
          </w:p>
        </w:tc>
        <w:tc>
          <w:tcPr>
            <w:tcW w:w="6428"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Criterios de evaluación</w:t>
            </w:r>
          </w:p>
        </w:tc>
        <w:tc>
          <w:tcPr>
            <w:tcW w:w="135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bottom"/>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Competencias específicas</w:t>
            </w:r>
          </w:p>
        </w:tc>
      </w:tr>
      <w:tr>
        <w:trPr/>
        <w:tc>
          <w:tcPr>
            <w:tcW w:w="84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D. La energía</w:t>
            </w:r>
          </w:p>
        </w:tc>
        <w:tc>
          <w:tcPr>
            <w:tcW w:w="1896"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Efectos del calor sobre la materia: análisis de los efectos y aplicación en situaciones cotidianas.</w:t>
            </w:r>
          </w:p>
        </w:tc>
        <w:tc>
          <w:tcPr>
            <w:tcW w:w="6428"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1.2. Resolver los problemas fisicoquímicos planteados utilizando las leyes y teorías científicas adecuadas, razonando los procedimientos utilizados para encontrar las soluciones y expresando adecuadamente los resultados.</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2.3. Aplicar las leyes y teorías científicas conocidas al formular cuestiones e hipótesis, siendo coherente con el conocimiento científico existente y diseñando los procedimientos experimentales o deductivos necesarios para resolverlas o comprobarlas.</w:t>
            </w:r>
          </w:p>
        </w:tc>
        <w:tc>
          <w:tcPr>
            <w:tcW w:w="1350" w:type="dxa"/>
            <w:tcBorders>
              <w:top w:val="single" w:sz="4" w:space="0" w:color="CCCCCC"/>
              <w:left w:val="single" w:sz="4" w:space="0" w:color="CCCCCC"/>
              <w:bottom w:val="single" w:sz="4" w:space="0" w:color="CCCCCC"/>
              <w:right w:val="single" w:sz="4" w:space="0" w:color="CCCCCC"/>
            </w:tcBorders>
            <w:shd w:fill="auto" w:val="clear"/>
            <w:tcMar>
              <w:top w:w="40" w:type="dxa"/>
              <w:left w:w="40" w:type="dxa"/>
              <w:bottom w:w="40" w:type="dxa"/>
              <w:right w:w="40" w:type="dxa"/>
            </w:tcMar>
            <w:vAlign w:val="cente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CE.FQ.2</w:t>
            </w:r>
          </w:p>
          <w:p>
            <w:pPr>
              <w:pStyle w:val="Normal1"/>
              <w:keepNext w:val="false"/>
              <w:keepLines w:val="false"/>
              <w:widowControl w:val="false"/>
              <w:pBdr/>
              <w:shd w:val="clear" w:fill="auto"/>
              <w:spacing w:lineRule="auto" w:line="240" w:before="0" w:after="0"/>
              <w:ind w:left="0" w:right="0" w:hanging="0"/>
              <w:jc w:val="left"/>
              <w:rPr>
                <w:rFonts w:ascii="Cambria" w:hAnsi="Cambria" w:eastAsia="Cambria" w:cs="Cambria"/>
                <w:b w:val="false"/>
                <w:b w:val="false"/>
                <w:i w:val="false"/>
                <w:i w:val="false"/>
                <w:caps w:val="false"/>
                <w:smallCaps w:val="false"/>
                <w:strike w:val="false"/>
                <w:dstrike w:val="false"/>
                <w:color w:val="00000A"/>
                <w:position w:val="0"/>
                <w:sz w:val="22"/>
                <w:sz w:val="20"/>
                <w:szCs w:val="20"/>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CE.FQ.1.</w:t>
            </w:r>
          </w:p>
        </w:tc>
      </w:tr>
    </w:tbl>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r>
    </w:p>
    <w:p>
      <w:pPr>
        <w:pStyle w:val="Normal1"/>
        <w:keepNext w:val="false"/>
        <w:keepLines w:val="false"/>
        <w:pageBreakBefore w:val="false"/>
        <w:widowControl w:val="false"/>
        <w:pBdr/>
        <w:shd w:val="clear" w:fill="auto"/>
        <w:spacing w:lineRule="auto" w:line="240" w:before="240" w:after="240"/>
        <w:ind w:left="0" w:right="0" w:hanging="0"/>
        <w:jc w:val="both"/>
        <w:rPr>
          <w:rFonts w:ascii="Cambria" w:hAnsi="Cambria" w:eastAsia="Cambria" w:cs="Cambria"/>
          <w:b/>
          <w:b/>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shd w:fill="auto" w:val="clear"/>
          <w:vertAlign w:val="baseline"/>
        </w:rPr>
        <w:t>Distribución temporal de los contenidos</w:t>
      </w:r>
    </w:p>
    <w:p>
      <w:pPr>
        <w:pStyle w:val="Normal1"/>
        <w:keepNext w:val="false"/>
        <w:keepLines w:val="false"/>
        <w:pageBreakBefore w:val="false"/>
        <w:widowControl w:val="false"/>
        <w:pBdr/>
        <w:shd w:val="clear" w:fill="auto"/>
        <w:spacing w:lineRule="auto" w:line="240" w:before="240" w:after="24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Los contenidos anteriormente citados se tratarán de la siguiente manera en las tres evaluaciones de que consta el curso:</w:t>
      </w:r>
    </w:p>
    <w:p>
      <w:pPr>
        <w:pStyle w:val="Normal1"/>
        <w:keepNext w:val="false"/>
        <w:keepLines w:val="false"/>
        <w:pageBreakBefore w:val="false"/>
        <w:widowControl w:val="false"/>
        <w:pBdr/>
        <w:shd w:val="clear" w:fill="auto"/>
        <w:spacing w:lineRule="auto" w:line="240" w:before="240" w:after="24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1ª EVALUACIÓN: Unidad 1, 2 y 3</w:t>
      </w:r>
    </w:p>
    <w:p>
      <w:pPr>
        <w:pStyle w:val="Normal1"/>
        <w:keepNext w:val="false"/>
        <w:keepLines w:val="false"/>
        <w:pageBreakBefore w:val="false"/>
        <w:widowControl w:val="false"/>
        <w:pBdr/>
        <w:shd w:val="clear" w:fill="auto"/>
        <w:spacing w:lineRule="auto" w:line="240" w:before="240" w:after="24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2ª EVALUACIÓN: Unidad 4, 5 y 6</w:t>
      </w:r>
    </w:p>
    <w:p>
      <w:pPr>
        <w:pStyle w:val="Normal1"/>
        <w:keepNext w:val="false"/>
        <w:keepLines w:val="false"/>
        <w:pageBreakBefore w:val="false"/>
        <w:widowControl w:val="false"/>
        <w:pBdr/>
        <w:shd w:val="clear" w:fill="auto"/>
        <w:spacing w:lineRule="auto" w:line="240" w:before="240" w:after="24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3ª EVALUACIÓN: Unidad 7, 8, 9 y 10</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3. PROCEDIMIENTOS E INSTRUMENTOS DE EVALUACIÓN</w:t>
      </w:r>
    </w:p>
    <w:p>
      <w:pPr>
        <w:pStyle w:val="Normal1"/>
        <w:keepNext w:val="false"/>
        <w:keepLines w:val="false"/>
        <w:pageBreakBefore w:val="false"/>
        <w:widowControl w:val="false"/>
        <w:pBdr/>
        <w:shd w:val="clear" w:fill="auto"/>
        <w:spacing w:lineRule="auto" w:line="240" w:before="0" w:after="0"/>
        <w:ind w:left="57"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Tal y como establece la Orden ECD/1172/2022 en su Artículo 13: </w:t>
      </w:r>
    </w:p>
    <w:p>
      <w:pPr>
        <w:pStyle w:val="Normal1"/>
        <w:keepNext w:val="false"/>
        <w:keepLines w:val="false"/>
        <w:pageBreakBefore w:val="false"/>
        <w:widowControl w:val="false"/>
        <w:pBdr/>
        <w:shd w:val="clear" w:fill="auto"/>
        <w:spacing w:lineRule="auto" w:line="240" w:before="0" w:after="0"/>
        <w:ind w:left="57" w:right="0" w:hanging="0"/>
        <w:jc w:val="both"/>
        <w:rPr>
          <w:rFonts w:ascii="Cambria" w:hAnsi="Cambria" w:eastAsia="Cambria" w:cs="Cambria"/>
          <w:b w:val="false"/>
          <w:b w:val="false"/>
          <w:i/>
          <w:i/>
          <w:caps w:val="false"/>
          <w:smallCaps w:val="false"/>
          <w:strike w:val="false"/>
          <w:dstrike w:val="false"/>
          <w:color w:val="000000"/>
          <w:position w:val="0"/>
          <w:sz w:val="22"/>
          <w:sz w:val="22"/>
          <w:szCs w:val="22"/>
          <w:u w:val="none"/>
          <w:vertAlign w:val="baseline"/>
        </w:rPr>
      </w:pPr>
      <w:r>
        <w:rPr>
          <w:rFonts w:eastAsia="Calibri" w:cs="Calibri"/>
          <w:b w:val="false"/>
          <w:i/>
          <w:caps w:val="false"/>
          <w:smallCaps w:val="false"/>
          <w:strike w:val="false"/>
          <w:dstrike w:val="false"/>
          <w:color w:val="000000"/>
          <w:position w:val="0"/>
          <w:sz w:val="22"/>
          <w:sz w:val="22"/>
          <w:szCs w:val="22"/>
          <w:u w:val="none"/>
          <w:shd w:fill="auto" w:val="clear"/>
          <w:vertAlign w:val="baseline"/>
        </w:rPr>
        <w:t>Los referentes para la comprobación del grado de adquisición de las competencias clave y el logro de los objetivos de la etapa serán los criterios de evaluación de las diferentes materias asociados a las competencias específicas. Dichos criterios de evaluación, actúan como puente entre las competencias específicas y los descriptores operativos del grado de desarrollo de las competencias clave relacionados en el Perfil de salida.</w:t>
      </w:r>
    </w:p>
    <w:p>
      <w:pPr>
        <w:pStyle w:val="Normal1"/>
        <w:keepNext w:val="false"/>
        <w:keepLines w:val="false"/>
        <w:pageBreakBefore w:val="false"/>
        <w:widowControl w:val="false"/>
        <w:pBdr/>
        <w:shd w:val="clear" w:fill="auto"/>
        <w:spacing w:lineRule="auto" w:line="240" w:before="0" w:after="0"/>
        <w:ind w:left="57"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57"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Del mismo modo, en el Artículo 14 de dicha Orden se establece que: </w:t>
      </w:r>
    </w:p>
    <w:p>
      <w:pPr>
        <w:pStyle w:val="Normal1"/>
        <w:keepNext w:val="false"/>
        <w:keepLines w:val="false"/>
        <w:pageBreakBefore w:val="false"/>
        <w:widowControl w:val="false"/>
        <w:pBdr/>
        <w:shd w:val="clear" w:fill="auto"/>
        <w:spacing w:lineRule="auto" w:line="240" w:before="0" w:after="0"/>
        <w:ind w:left="57" w:right="0" w:hanging="0"/>
        <w:jc w:val="both"/>
        <w:rPr>
          <w:rFonts w:ascii="Cambria" w:hAnsi="Cambria" w:eastAsia="Cambria" w:cs="Cambria"/>
          <w:b w:val="false"/>
          <w:b w:val="false"/>
          <w:i/>
          <w:i/>
          <w:caps w:val="false"/>
          <w:smallCaps w:val="false"/>
          <w:strike w:val="false"/>
          <w:dstrike w:val="false"/>
          <w:color w:val="000000"/>
          <w:position w:val="0"/>
          <w:sz w:val="22"/>
          <w:sz w:val="22"/>
          <w:szCs w:val="22"/>
          <w:u w:val="none"/>
          <w:vertAlign w:val="baseline"/>
        </w:rPr>
      </w:pPr>
      <w:r>
        <w:rPr>
          <w:rFonts w:eastAsia="Calibri" w:cs="Calibri"/>
          <w:b w:val="false"/>
          <w:i/>
          <w:caps w:val="false"/>
          <w:smallCaps w:val="false"/>
          <w:strike w:val="false"/>
          <w:dstrike w:val="false"/>
          <w:color w:val="000000"/>
          <w:position w:val="0"/>
          <w:sz w:val="22"/>
          <w:sz w:val="22"/>
          <w:szCs w:val="22"/>
          <w:u w:val="none"/>
          <w:shd w:fill="auto" w:val="clear"/>
          <w:vertAlign w:val="baseline"/>
        </w:rPr>
        <w:t>La evaluación del alumnado será integradora, continua y formativa, y tendrá en cuenta el grado de desarrollo de las competencias clave y su progreso en el conjunto de los procesos de aprendizaje.</w:t>
      </w:r>
    </w:p>
    <w:p>
      <w:pPr>
        <w:pStyle w:val="Normal1"/>
        <w:keepNext w:val="false"/>
        <w:keepLines w:val="false"/>
        <w:pageBreakBefore w:val="false"/>
        <w:widowControl w:val="false"/>
        <w:pBdr/>
        <w:shd w:val="clear" w:fill="auto"/>
        <w:spacing w:lineRule="auto" w:line="240" w:before="0" w:after="0"/>
        <w:ind w:left="57" w:right="0" w:hanging="0"/>
        <w:jc w:val="both"/>
        <w:rPr>
          <w:rFonts w:ascii="Calibri" w:hAnsi="Calibri" w:eastAsia="Calibri" w:cs="Calibri"/>
          <w:b w:val="false"/>
          <w:b w:val="false"/>
          <w:i/>
          <w:i/>
          <w:caps w:val="false"/>
          <w:smallCaps w:val="false"/>
          <w:strike w:val="false"/>
          <w:dstrike w:val="false"/>
          <w:color w:val="000000"/>
          <w:position w:val="0"/>
          <w:sz w:val="22"/>
          <w:sz w:val="22"/>
          <w:szCs w:val="22"/>
          <w:u w:val="none"/>
          <w:vertAlign w:val="baseline"/>
        </w:rPr>
      </w:pPr>
      <w:r>
        <w:rPr>
          <w:rFonts w:eastAsia="Calibri" w:cs="Calibri"/>
          <w:b w:val="false"/>
          <w:i/>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57" w:right="0" w:hanging="0"/>
        <w:jc w:val="both"/>
        <w:rPr>
          <w:rFonts w:ascii="Cambria" w:hAnsi="Cambria" w:eastAsia="Cambria" w:cs="Cambria"/>
          <w:b w:val="false"/>
          <w:b w:val="false"/>
          <w:i/>
          <w:i/>
          <w:caps w:val="false"/>
          <w:smallCaps w:val="false"/>
          <w:strike w:val="false"/>
          <w:dstrike w:val="false"/>
          <w:color w:val="000000"/>
          <w:position w:val="0"/>
          <w:sz w:val="22"/>
          <w:sz w:val="22"/>
          <w:szCs w:val="22"/>
          <w:u w:val="none"/>
          <w:vertAlign w:val="baseline"/>
        </w:rPr>
      </w:pPr>
      <w:r>
        <w:rPr>
          <w:rFonts w:eastAsia="Calibri" w:cs="Calibri"/>
          <w:b w:val="false"/>
          <w:i/>
          <w:caps w:val="false"/>
          <w:smallCaps w:val="false"/>
          <w:strike w:val="false"/>
          <w:dstrike w:val="false"/>
          <w:color w:val="000000"/>
          <w:position w:val="0"/>
          <w:sz w:val="22"/>
          <w:sz w:val="22"/>
          <w:szCs w:val="22"/>
          <w:u w:val="none"/>
          <w:shd w:fill="auto" w:val="clear"/>
          <w:vertAlign w:val="baseline"/>
        </w:rPr>
        <w:t>En el contexto del proceso de evaluación continua, cuando el progreso del alumnado no sea el adecuado, se establecerán las medidas de refuerzo educativo. Estas medidas deberán adoptarse tan pronto se detecten las dificultades y estarán dirigidas a garantizar la adquisición de los aprendizajes imprescindibles para continuar el proceso educativo. El profesorado recogerá información de manera permanente acerca del proceso de enseñanza y de aprendizaje de su alumnado con especial atención a los objetivos, competencias específicas y criterios de evaluación. Los procedimientos e instrumentos de evaluación utilizados deberán permitir la constatación de los progresos realizados por cada alumno y por cada alumna, teniendo en cuenta su particular situación inicial y atendiendo a la diversidad de capacidades, actitudes y ritmos de aprendizaje.</w:t>
      </w:r>
    </w:p>
    <w:p>
      <w:pPr>
        <w:pStyle w:val="Normal1"/>
        <w:keepNext w:val="false"/>
        <w:keepLines w:val="false"/>
        <w:pageBreakBefore w:val="false"/>
        <w:widowControl w:val="false"/>
        <w:pBdr/>
        <w:shd w:val="clear" w:fill="auto"/>
        <w:spacing w:lineRule="auto" w:line="240" w:before="0" w:after="0"/>
        <w:ind w:left="57" w:right="0" w:hanging="0"/>
        <w:jc w:val="both"/>
        <w:rPr>
          <w:rFonts w:ascii="Calibri" w:hAnsi="Calibri" w:eastAsia="Calibri" w:cs="Calibri"/>
          <w:b w:val="false"/>
          <w:b w:val="false"/>
          <w:i/>
          <w:i/>
          <w:caps w:val="false"/>
          <w:smallCaps w:val="false"/>
          <w:strike w:val="false"/>
          <w:dstrike w:val="false"/>
          <w:color w:val="000000"/>
          <w:position w:val="0"/>
          <w:sz w:val="22"/>
          <w:sz w:val="22"/>
          <w:szCs w:val="22"/>
          <w:u w:val="none"/>
          <w:vertAlign w:val="baseline"/>
        </w:rPr>
      </w:pPr>
      <w:r>
        <w:rPr>
          <w:rFonts w:eastAsia="Calibri" w:cs="Calibri"/>
          <w:b w:val="false"/>
          <w:i/>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57"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Por tanto, en el contexto de la evaluación continua, cuando el progreso de un alumno no sea el adecuado, se establecerán medidas de refuerzo educativo para reorientar el proceso de enseñanza-aprendizaje de cara a la adquisición de las competencias clave al finalizar el curso. Estas medidas de refuerzo pueden adoptarse en cualquier momento del curso y sirven también como medida de atención a la diversidad de capacidades y estilos de aprendizaje del alumnado que constituye el grupo. Por tanto, esta evaluación se aplica durante el proceso didáctico y se basa en la observación de las actividades de aprendizaje que va realizando el alumno, por lo que no tiene como objetivo dar calificaciones sino mostrar al profesor (y al propio alumno) el grado de desarrollo de su aprendizaje. </w:t>
      </w:r>
    </w:p>
    <w:p>
      <w:pPr>
        <w:pStyle w:val="Normal1"/>
        <w:keepNext w:val="false"/>
        <w:keepLines w:val="false"/>
        <w:pageBreakBefore w:val="false"/>
        <w:widowControl w:val="false"/>
        <w:pBdr/>
        <w:shd w:val="clear" w:fill="auto"/>
        <w:spacing w:lineRule="auto" w:line="240" w:before="0" w:after="0"/>
        <w:ind w:left="57"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57"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La evaluación se entiende como un elemento formativo, ya que debe servir para que los alumnos/as sean conscientes de los errores que hayan cometido y puedan aprender de sus propios fallos, lo que contribuye a la competencia clave de aprender a aprender. En este sentido, cualquier instrumento de evaluación será mostrado al alumno con sus correcciones e indicaciones correspondientes que justifiquen la calificación y que sirvan de base para lograr aquellos objetivos que no se hayan logrado todavía.  </w:t>
      </w:r>
    </w:p>
    <w:p>
      <w:pPr>
        <w:pStyle w:val="Normal1"/>
        <w:keepNext w:val="false"/>
        <w:keepLines w:val="false"/>
        <w:pageBreakBefore w:val="false"/>
        <w:widowControl w:val="false"/>
        <w:pBdr/>
        <w:shd w:val="clear" w:fill="auto"/>
        <w:spacing w:lineRule="auto" w:line="240" w:before="0" w:after="0"/>
        <w:ind w:left="57"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57"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Mientras que la evaluación también tiene carácter integrador, ya que las diferentes materias de los diferentes cursos de la ESO deben contribuir a lograr los objetivos establecidos para la etapa de la ESO y el desarrollo de las competencias clave.  </w:t>
      </w:r>
    </w:p>
    <w:p>
      <w:pPr>
        <w:pStyle w:val="Normal1"/>
        <w:keepNext w:val="false"/>
        <w:keepLines w:val="false"/>
        <w:pageBreakBefore w:val="false"/>
        <w:widowControl w:val="false"/>
        <w:pBdr/>
        <w:shd w:val="clear" w:fill="auto"/>
        <w:spacing w:lineRule="auto" w:line="240" w:before="0" w:after="0"/>
        <w:ind w:left="57"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57"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En el marco de las competencias clave, la evaluación debe ser global, es decir, debe considerar no solo la capacidad de un alumno para resolver un problema modelo determinado, sino su capacidad para colaborar con otros alumnos en la resolución de una misma tarea, su expresión oral al explicar la resolución de un problema en la pizarra, etc. De este modo no solo se evalúan conocimientos sino también lo contemplado en las competencias clave. </w:t>
      </w:r>
    </w:p>
    <w:p>
      <w:pPr>
        <w:pStyle w:val="Normal1"/>
        <w:keepNext w:val="false"/>
        <w:keepLines w:val="false"/>
        <w:pageBreakBefore w:val="false"/>
        <w:widowControl w:val="false"/>
        <w:pBdr/>
        <w:shd w:val="clear" w:fill="auto"/>
        <w:spacing w:lineRule="auto" w:line="240" w:before="0" w:after="0"/>
        <w:ind w:left="57"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57"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Por último, los alumnos tienen derecho a ser evaluados con objetividad, de ahí que se publiquen a principio de curso los criterios de evaluación y los criterios de calificación de cada asignatura del departamento de Física y Química. En esta línea, todos los ejercicios o tareas tendrán asignado un peso determinado en la calificación del instrumento de evaluación que será conocido por el alumno/a. Además, se informará a los alumnos/as de que  en las pruebas escritas se pueden establecer una serie de penalizaciones (por ausencia de unidades en un resultado, por faltas de ortografía, por ausencia de las fórmulas, etc.). Por supuesto, el docente estará siempre a disposición del alumno para aclararle cualquier duda en la calificación de un instrumento de evaluación y para corregir cualquier error originado por el docente en la corrección. </w:t>
      </w:r>
    </w:p>
    <w:p>
      <w:pPr>
        <w:pStyle w:val="Normal1"/>
        <w:keepNext w:val="false"/>
        <w:keepLines w:val="false"/>
        <w:pageBreakBefore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Para poder evaluar de forma global teniendo en cuenta las competencias clave es necesario recurrir a variados procedimientos de evaluación que se basan en diferentes instrumentos de evaluación. Tal y como establece la legislación</w:t>
      </w:r>
      <w:r>
        <w:rPr>
          <w:rFonts w:eastAsia="Calibri" w:cs="Calibri"/>
          <w:b/>
          <w:i w:val="false"/>
          <w:caps w:val="false"/>
          <w:smallCaps w:val="false"/>
          <w:strike w:val="false"/>
          <w:dstrike w:val="false"/>
          <w:color w:val="000000"/>
          <w:position w:val="0"/>
          <w:sz w:val="22"/>
          <w:sz w:val="22"/>
          <w:szCs w:val="22"/>
          <w:u w:val="none"/>
          <w:shd w:fill="auto" w:val="clear"/>
          <w:vertAlign w:val="baseline"/>
        </w:rPr>
        <w:t xml:space="preserve">, </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los referentes de la evaluación son los Criterios de Evaluación, por tanto, todos los elementos que intervienen en la evaluación estarán referidos a los Criterios de Evaluación.</w:t>
      </w:r>
    </w:p>
    <w:p>
      <w:pPr>
        <w:pStyle w:val="Normal1"/>
        <w:keepNext w:val="false"/>
        <w:keepLines w:val="false"/>
        <w:pageBreakBefore w:val="false"/>
        <w:widowControl/>
        <w:pBdr/>
        <w:shd w:val="clear" w:fill="auto"/>
        <w:spacing w:lineRule="auto" w:line="240" w:before="0" w:after="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En la siguiente tabla se muestran los procedimiento de evaluación que se van a utilizar en el curso académico.</w:t>
      </w:r>
    </w:p>
    <w:p>
      <w:pPr>
        <w:pStyle w:val="Normal1"/>
        <w:keepNext w:val="false"/>
        <w:keepLines w:val="false"/>
        <w:pageBreakBefore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57"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Los instrumentos de evaluación serán:</w:t>
      </w:r>
    </w:p>
    <w:p>
      <w:pPr>
        <w:pStyle w:val="Normal1"/>
        <w:keepNext w:val="false"/>
        <w:keepLines w:val="false"/>
        <w:pageBreakBefore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numPr>
          <w:ilvl w:val="0"/>
          <w:numId w:val="6"/>
        </w:numPr>
        <w:pBdr/>
        <w:shd w:val="clear" w:fill="auto"/>
        <w:spacing w:lineRule="auto" w:line="240" w:before="0" w:after="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Pruebas objetivas (exámenes) en las que se plantean actividades, problemas numéricos y preguntas teóricas.</w:t>
      </w:r>
    </w:p>
    <w:p>
      <w:pPr>
        <w:pStyle w:val="Normal1"/>
        <w:keepNext w:val="false"/>
        <w:keepLines w:val="false"/>
        <w:pageBreakBefore w:val="false"/>
        <w:widowControl w:val="false"/>
        <w:numPr>
          <w:ilvl w:val="0"/>
          <w:numId w:val="6"/>
        </w:numPr>
        <w:pBdr/>
        <w:shd w:val="clear" w:fill="auto"/>
        <w:spacing w:lineRule="auto" w:line="240" w:before="0" w:after="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Control de los deberes y del trabajo realizado en el aula.  Realización de ejercicios. </w:t>
      </w:r>
      <w:r>
        <w:rPr>
          <w:color w:val="000000"/>
        </w:rPr>
        <w:t>Cuaderno</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y seguimiento</w:t>
      </w:r>
      <w:r>
        <w:rPr>
          <w:color w:val="000000"/>
        </w:rPr>
        <w:t xml:space="preserve">. </w:t>
      </w:r>
    </w:p>
    <w:p>
      <w:pPr>
        <w:pStyle w:val="Normal1"/>
        <w:keepNext w:val="false"/>
        <w:keepLines w:val="false"/>
        <w:pageBreakBefore w:val="false"/>
        <w:widowControl w:val="false"/>
        <w:numPr>
          <w:ilvl w:val="0"/>
          <w:numId w:val="6"/>
        </w:numPr>
        <w:pBdr/>
        <w:shd w:val="clear" w:fill="auto"/>
        <w:spacing w:lineRule="auto" w:line="240" w:before="0" w:after="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Planteamiento y resolución de actividades en clase, de forma oral o por escrito, por parte de los alumnos.</w:t>
      </w:r>
    </w:p>
    <w:p>
      <w:pPr>
        <w:pStyle w:val="Normal1"/>
        <w:keepNext w:val="false"/>
        <w:keepLines w:val="false"/>
        <w:pageBreakBefore w:val="false"/>
        <w:widowControl w:val="false"/>
        <w:numPr>
          <w:ilvl w:val="0"/>
          <w:numId w:val="6"/>
        </w:numPr>
        <w:pBdr/>
        <w:shd w:val="clear" w:fill="auto"/>
        <w:spacing w:lineRule="auto" w:line="240" w:before="0" w:after="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Informes de laboratorio y resolución de cuestiones planteadas en el mismo sobre las prácticas que se realicen.</w:t>
      </w:r>
    </w:p>
    <w:p>
      <w:pPr>
        <w:pStyle w:val="Normal1"/>
        <w:keepNext w:val="false"/>
        <w:keepLines w:val="false"/>
        <w:pageBreakBefore w:val="false"/>
        <w:widowControl w:val="false"/>
        <w:numPr>
          <w:ilvl w:val="0"/>
          <w:numId w:val="6"/>
        </w:numPr>
        <w:pBdr/>
        <w:shd w:val="clear" w:fill="auto"/>
        <w:spacing w:lineRule="auto" w:line="240" w:before="0" w:after="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Valoración de la participación en clase</w:t>
      </w:r>
    </w:p>
    <w:p>
      <w:pPr>
        <w:pStyle w:val="Normal1"/>
        <w:keepNext w:val="false"/>
        <w:keepLines w:val="false"/>
        <w:pageBreakBefore w:val="false"/>
        <w:widowControl w:val="false"/>
        <w:numPr>
          <w:ilvl w:val="0"/>
          <w:numId w:val="6"/>
        </w:numPr>
        <w:pBdr/>
        <w:shd w:val="clear" w:fill="auto"/>
        <w:spacing w:lineRule="auto" w:line="240" w:before="0" w:after="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Trabajos cooperativos en grupos heterogéneos.</w:t>
      </w:r>
    </w:p>
    <w:p>
      <w:pPr>
        <w:pStyle w:val="Normal1"/>
        <w:keepNext w:val="false"/>
        <w:keepLines w:val="false"/>
        <w:pageBreakBefore w:val="false"/>
        <w:widowControl w:val="false"/>
        <w:pBdr/>
        <w:shd w:val="clear" w:fill="auto"/>
        <w:spacing w:lineRule="auto" w:line="240" w:before="0" w:after="0"/>
        <w:ind w:left="72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4. CRITERIOS DE CALIFICACIÓN</w:t>
      </w:r>
    </w:p>
    <w:p>
      <w:pPr>
        <w:pStyle w:val="Normal1"/>
        <w:keepNext w:val="false"/>
        <w:keepLines w:val="false"/>
        <w:pageBreakBefore w:val="false"/>
        <w:widowControl/>
        <w:numPr>
          <w:ilvl w:val="0"/>
          <w:numId w:val="2"/>
        </w:numPr>
        <w:pBdr/>
        <w:shd w:val="clear" w:fill="auto"/>
        <w:spacing w:lineRule="auto" w:line="240" w:before="0" w:after="0"/>
        <w:ind w:left="283"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Teniendo en cuenta los procedimientos e instrumentos de evaluación indicados anteriormente en esta programación, se indican a continuación los criterios de calificación que se van a utilizar para este curso para obtener la calificación final de cada evaluación:</w:t>
      </w:r>
    </w:p>
    <w:p>
      <w:pPr>
        <w:pStyle w:val="Normal1"/>
        <w:keepNext w:val="false"/>
        <w:keepLines w:val="false"/>
        <w:pageBreakBefore w:val="false"/>
        <w:widowControl/>
        <w:numPr>
          <w:ilvl w:val="0"/>
          <w:numId w:val="11"/>
        </w:numPr>
        <w:pBdr/>
        <w:shd w:val="clear" w:fill="auto"/>
        <w:spacing w:lineRule="auto" w:line="240" w:before="0" w:after="0"/>
        <w:ind w:left="85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La media aritmética de la nota obtenida en los exámenes que se realicen a lo largo de la evaluación tendrá un peso del 70 % de la nota final.</w:t>
      </w:r>
    </w:p>
    <w:p>
      <w:pPr>
        <w:pStyle w:val="Normal1"/>
        <w:keepNext w:val="false"/>
        <w:keepLines w:val="false"/>
        <w:pageBreakBefore w:val="false"/>
        <w:widowControl/>
        <w:pBdr/>
        <w:shd w:val="clear" w:fill="auto"/>
        <w:spacing w:lineRule="auto" w:line="240" w:before="0" w:after="0"/>
        <w:ind w:left="85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Se intentará como mínimo dos exámenes por evaluación. El contenido de estos exámenes se basará en los saberes y procedimientos  y podrán incluir actividades realizadas en clase y en laboratorio.</w:t>
      </w:r>
    </w:p>
    <w:p>
      <w:pPr>
        <w:pStyle w:val="Normal1"/>
        <w:keepNext w:val="false"/>
        <w:keepLines w:val="false"/>
        <w:pageBreakBefore w:val="false"/>
        <w:widowControl/>
        <w:pBdr/>
        <w:shd w:val="clear" w:fill="auto"/>
        <w:spacing w:lineRule="auto" w:line="240" w:before="0" w:after="0"/>
        <w:ind w:left="85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Para hallar la contribución de los exámenes a la nota final de una evaluación, se hará la media ponderada de los exámenes realizados</w:t>
      </w:r>
    </w:p>
    <w:p>
      <w:pPr>
        <w:pStyle w:val="Normal1"/>
        <w:keepNext w:val="false"/>
        <w:keepLines w:val="false"/>
        <w:pageBreakBefore w:val="false"/>
        <w:widowControl/>
        <w:pBdr/>
        <w:shd w:val="clear" w:fill="auto"/>
        <w:spacing w:lineRule="auto" w:line="240" w:before="0" w:after="0"/>
        <w:ind w:left="85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0"/>
        <w:ind w:left="85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Si no se presenta a un examen sin causa justificada la nota será de 0 </w:t>
      </w:r>
    </w:p>
    <w:p>
      <w:pPr>
        <w:pStyle w:val="Normal1"/>
        <w:keepNext w:val="false"/>
        <w:keepLines w:val="false"/>
        <w:pageBreakBefore w:val="false"/>
        <w:widowControl/>
        <w:pBdr/>
        <w:shd w:val="clear" w:fill="auto"/>
        <w:spacing w:lineRule="auto" w:line="240" w:before="0" w:after="0"/>
        <w:ind w:left="85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Si a un alumno se le coge haciendo algo irregular durante un examen su </w:t>
      </w:r>
      <w:r>
        <w:rPr>
          <w:color w:val="000000"/>
        </w:rPr>
        <w:t>calificación será</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de 0 </w:t>
      </w:r>
    </w:p>
    <w:p>
      <w:pPr>
        <w:pStyle w:val="Normal1"/>
        <w:keepNext w:val="false"/>
        <w:keepLines w:val="false"/>
        <w:pageBreakBefore w:val="false"/>
        <w:widowControl/>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numPr>
          <w:ilvl w:val="0"/>
          <w:numId w:val="11"/>
        </w:numPr>
        <w:pBdr/>
        <w:shd w:val="clear" w:fill="auto"/>
        <w:spacing w:lineRule="auto" w:line="240" w:before="0" w:after="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El profesor supervisará los </w:t>
      </w:r>
      <w:r>
        <w:rPr>
          <w:color w:val="000000"/>
        </w:rPr>
        <w:t xml:space="preserve">instrumentos 2, 3 ,4 ,5 y 6 </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 a partir de las tareas que se encarguen al alumno (incluyendo tanto los ejercicios propuestos en clase, como las tareas para casa o los informes de las prácticas de laboratorio).</w:t>
      </w:r>
    </w:p>
    <w:p>
      <w:pPr>
        <w:pStyle w:val="Normal1"/>
        <w:keepNext w:val="false"/>
        <w:keepLines w:val="false"/>
        <w:pageBreakBefore w:val="false"/>
        <w:widowControl/>
        <w:pBdr/>
        <w:shd w:val="clear" w:fill="auto"/>
        <w:spacing w:lineRule="auto" w:line="240" w:before="0" w:after="0"/>
        <w:ind w:left="72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Por otra parte, el cuaderno de clase será de entrega obligatoria en la fecha indicada por el profesor.  </w:t>
      </w:r>
    </w:p>
    <w:p>
      <w:pPr>
        <w:pStyle w:val="Normal1"/>
        <w:keepNext w:val="false"/>
        <w:keepLines w:val="false"/>
        <w:pageBreakBefore w:val="false"/>
        <w:widowControl/>
        <w:pBdr/>
        <w:shd w:val="clear" w:fill="auto"/>
        <w:spacing w:lineRule="auto" w:line="240" w:before="0" w:after="0"/>
        <w:ind w:left="72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La valoración de este apartado supondrá un 30 % de la nota final. El porcentaje de cada una de las partes, variará en función del número de prácticas y/o trabajos que se hayan podido realizar.</w:t>
      </w:r>
    </w:p>
    <w:p>
      <w:pPr>
        <w:pStyle w:val="Normal1"/>
        <w:keepNext w:val="false"/>
        <w:keepLines w:val="false"/>
        <w:pageBreakBefore w:val="false"/>
        <w:widowControl/>
        <w:pBdr/>
        <w:shd w:val="clear" w:fill="auto"/>
        <w:spacing w:lineRule="auto" w:line="240" w:before="0" w:after="0"/>
        <w:ind w:left="72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0"/>
        <w:ind w:left="72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Los trabajos y practicas de laboratorio tendrán fecha de entrega, si se entregan después su nota será de 0 </w:t>
      </w:r>
    </w:p>
    <w:p>
      <w:pPr>
        <w:pStyle w:val="Normal1"/>
        <w:keepNext w:val="false"/>
        <w:keepLines w:val="false"/>
        <w:pageBreakBefore w:val="false"/>
        <w:widowControl/>
        <w:pBdr/>
        <w:shd w:val="clear" w:fill="auto"/>
        <w:spacing w:lineRule="auto" w:line="240" w:before="0" w:after="0"/>
        <w:ind w:left="72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numPr>
          <w:ilvl w:val="0"/>
          <w:numId w:val="2"/>
        </w:numPr>
        <w:pBdr/>
        <w:shd w:val="clear" w:fill="auto"/>
        <w:spacing w:lineRule="auto" w:line="240" w:before="0" w:after="0"/>
        <w:ind w:left="283"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Aquellos alumnos que no alcancen la calificación de 5 en una evaluación, tendrán la posibilidad de recuperarla por medio de una prueba escrita que se realizará una vez haya finalizado la evaluación.</w:t>
      </w:r>
    </w:p>
    <w:p>
      <w:pPr>
        <w:pStyle w:val="Normal1"/>
        <w:keepNext w:val="false"/>
        <w:keepLines w:val="false"/>
        <w:pageBreakBefore w:val="false"/>
        <w:widowControl/>
        <w:pBdr/>
        <w:shd w:val="clear" w:fill="auto"/>
        <w:spacing w:lineRule="auto" w:line="240" w:before="0" w:after="0"/>
        <w:ind w:left="283"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Además, aquellos alumnos con la evaluación aprobada, también podrán realizar dicha recuperación para mejorar su calificación en la evaluación.</w:t>
      </w:r>
    </w:p>
    <w:p>
      <w:pPr>
        <w:pStyle w:val="Normal1"/>
        <w:keepNext w:val="false"/>
        <w:keepLines w:val="false"/>
        <w:pageBreakBefore w:val="false"/>
        <w:widowControl/>
        <w:pBdr/>
        <w:shd w:val="clear" w:fill="auto"/>
        <w:spacing w:lineRule="auto" w:line="240" w:before="0" w:after="0"/>
        <w:ind w:left="283"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La nota obtenida en esta recuperación sustituirá a la obtenida en la evaluación, a la hora de calcular la nota final.</w:t>
      </w:r>
    </w:p>
    <w:p>
      <w:pPr>
        <w:pStyle w:val="Normal1"/>
        <w:keepNext w:val="false"/>
        <w:keepLines w:val="false"/>
        <w:pageBreakBefore w:val="false"/>
        <w:widowControl/>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numPr>
          <w:ilvl w:val="0"/>
          <w:numId w:val="2"/>
        </w:numPr>
        <w:pBdr/>
        <w:shd w:val="clear" w:fill="auto"/>
        <w:spacing w:lineRule="auto" w:line="240" w:before="0" w:after="0"/>
        <w:ind w:left="283"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Para obtener la nota final de la materia en la evaluación ordinaria, y dado que tenemos tres evaluaciones, tendremos que tener en cuenta las siguientes consideraciones:</w:t>
      </w:r>
    </w:p>
    <w:p>
      <w:pPr>
        <w:pStyle w:val="Normal1"/>
        <w:keepNext w:val="false"/>
        <w:keepLines w:val="false"/>
        <w:pageBreakBefore w:val="false"/>
        <w:widowControl/>
        <w:pBdr/>
        <w:shd w:val="clear" w:fill="auto"/>
        <w:spacing w:lineRule="auto" w:line="240" w:before="0" w:after="0"/>
        <w:ind w:left="283"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Si todas las evaluaciones tienen una nota superior o igual a 5, la nota final será el promedio de las tres notas de las evaluaciones.</w:t>
      </w:r>
    </w:p>
    <w:p>
      <w:pPr>
        <w:pStyle w:val="Normal1"/>
        <w:keepNext w:val="false"/>
        <w:keepLines w:val="false"/>
        <w:pageBreakBefore w:val="false"/>
        <w:widowControl/>
        <w:pBdr/>
        <w:shd w:val="clear" w:fill="auto"/>
        <w:spacing w:lineRule="auto" w:line="240" w:before="0" w:after="0"/>
        <w:ind w:left="283"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Si solo hay una evaluación con una nota inferior a 5 pero superior a 4, también se hará el promedio. Si éste es igual o superior a 5, el promedio será la nota final; en cambio, si es inferior a 5, el alumno tendrá que realizar el examen de recuperación final de junio.</w:t>
      </w:r>
    </w:p>
    <w:p>
      <w:pPr>
        <w:pStyle w:val="Normal1"/>
        <w:keepNext w:val="false"/>
        <w:keepLines w:val="false"/>
        <w:pageBreakBefore w:val="false"/>
        <w:widowControl/>
        <w:pBdr/>
        <w:shd w:val="clear" w:fill="auto"/>
        <w:spacing w:lineRule="auto" w:line="240" w:before="0" w:after="0"/>
        <w:ind w:left="283"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Si hay dos o tres evaluaciones con nota inferior a 5, tendrá que ir al examen de recuperación final de curso.</w:t>
      </w:r>
    </w:p>
    <w:p>
      <w:pPr>
        <w:pStyle w:val="Normal1"/>
        <w:keepNext w:val="false"/>
        <w:keepLines w:val="false"/>
        <w:pageBreakBefore w:val="false"/>
        <w:widowControl/>
        <w:pBdr/>
        <w:shd w:val="clear" w:fill="auto"/>
        <w:spacing w:lineRule="auto" w:line="240" w:before="0" w:after="0"/>
        <w:ind w:left="283"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numPr>
          <w:ilvl w:val="0"/>
          <w:numId w:val="2"/>
        </w:numPr>
        <w:pBdr/>
        <w:shd w:val="clear" w:fill="auto"/>
        <w:spacing w:lineRule="auto" w:line="240" w:before="0" w:after="0"/>
        <w:ind w:left="283"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En los últimos días de curso, se realizará una recuperación final previa a la evaluación final ordinaria. Los alumnos que tengan alguna evaluación suspendida y que no puedan obtener una calificación final de aprobado según el punto anterior, podrán examinarse sólo de la evaluación o evaluaciones que tengan suspendidas.</w:t>
      </w:r>
    </w:p>
    <w:p>
      <w:pPr>
        <w:pStyle w:val="Normal1"/>
        <w:keepNext w:val="false"/>
        <w:keepLines w:val="false"/>
        <w:pageBreakBefore w:val="false"/>
        <w:widowControl/>
        <w:pBdr/>
        <w:shd w:val="clear" w:fill="auto"/>
        <w:spacing w:lineRule="auto" w:line="240" w:before="0" w:after="0"/>
        <w:ind w:left="72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numPr>
          <w:ilvl w:val="0"/>
          <w:numId w:val="2"/>
        </w:numPr>
        <w:pBdr/>
        <w:shd w:val="clear" w:fill="auto"/>
        <w:spacing w:lineRule="auto" w:line="240" w:before="0" w:after="0"/>
        <w:ind w:left="283"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La nota de la materia en la evaluación final ordinaria se obtendrá realizando la media de las obtenidas en las tres evaluaciones (o la que haya obtenido tras realizar las recuperaciones).</w:t>
      </w:r>
    </w:p>
    <w:p>
      <w:pPr>
        <w:pStyle w:val="Normal1"/>
        <w:keepNext w:val="false"/>
        <w:keepLines w:val="false"/>
        <w:pageBreakBefore w:val="false"/>
        <w:widowControl/>
        <w:pBdr/>
        <w:shd w:val="clear" w:fill="auto"/>
        <w:spacing w:lineRule="auto" w:line="240" w:before="0" w:after="0"/>
        <w:ind w:left="72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numPr>
          <w:ilvl w:val="0"/>
          <w:numId w:val="2"/>
        </w:numPr>
        <w:pBdr/>
        <w:shd w:val="clear" w:fill="auto"/>
        <w:spacing w:lineRule="auto" w:line="240" w:before="0" w:after="0"/>
        <w:ind w:left="283"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En el grupo de PAI el porcentaje de exámenes será de 60% y el 40% el trabajo.</w:t>
      </w:r>
    </w:p>
    <w:p>
      <w:pPr>
        <w:pStyle w:val="Normal1"/>
        <w:keepNext w:val="false"/>
        <w:keepLines w:val="false"/>
        <w:pageBreakBefore w:val="false"/>
        <w:widowControl/>
        <w:pBdr/>
        <w:shd w:val="clear" w:fill="auto"/>
        <w:spacing w:lineRule="auto" w:line="276" w:before="0" w:after="200"/>
        <w:ind w:left="720" w:right="0" w:hanging="0"/>
        <w:jc w:val="left"/>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mbria" w:cs="Cambria" w:ascii="Cambria" w:hAnsi="Cambria"/>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0"/>
        <w:ind w:left="283"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mbria" w:cs="Cambria" w:ascii="Cambria" w:hAnsi="Cambria"/>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Los exámenes </w:t>
      </w:r>
      <w:r>
        <w:rPr>
          <w:color w:val="000000"/>
        </w:rPr>
        <w:t xml:space="preserve">se diseñan </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de tal forma que el 70% se reparta entre las competencias </w:t>
      </w:r>
      <w:r>
        <w:rPr>
          <w:color w:val="000000"/>
        </w:rPr>
        <w:t>específicas</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1, 2 y 3.1 y 3.2 como se indica en este cuadro</w:t>
      </w:r>
    </w:p>
    <w:p>
      <w:pPr>
        <w:pStyle w:val="Normal1"/>
        <w:keepNext w:val="false"/>
        <w:keepLines w:val="false"/>
        <w:pageBreakBefore w:val="false"/>
        <w:widowControl/>
        <w:pBdr/>
        <w:shd w:val="clear" w:fill="auto"/>
        <w:spacing w:lineRule="auto" w:line="240" w:before="0" w:after="0"/>
        <w:ind w:left="0" w:right="0" w:hanging="0"/>
        <w:jc w:val="left"/>
        <w:rPr>
          <w:color w:val="000000"/>
        </w:rPr>
      </w:pPr>
      <w:r>
        <w:rPr>
          <w:color w:val="000000"/>
        </w:rPr>
      </w:r>
    </w:p>
    <w:p>
      <w:pPr>
        <w:pStyle w:val="Normal1"/>
        <w:keepNext w:val="false"/>
        <w:keepLines w:val="false"/>
        <w:pageBreakBefore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w:t>
      </w:r>
      <w:r>
        <w:rPr>
          <w:color w:val="000000"/>
        </w:rPr>
        <w:t>L</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as actividades que suponen el 30% estarán diseñadas para cumplir el reparto </w:t>
      </w:r>
      <w:r>
        <w:rPr>
          <w:color w:val="000000"/>
        </w:rPr>
        <w:t xml:space="preserve">entre las competencias 3.3, 4, 5 y 6 como se indica en este cuadro. </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w:t>
      </w:r>
    </w:p>
    <w:p>
      <w:pPr>
        <w:pStyle w:val="Normal1"/>
        <w:keepNext w:val="false"/>
        <w:keepLines w:val="false"/>
        <w:pageBreakBefore w:val="false"/>
        <w:widowControl/>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tbl>
      <w:tblPr>
        <w:tblStyle w:val="Table13"/>
        <w:tblW w:w="9743" w:type="dxa"/>
        <w:jc w:val="left"/>
        <w:tblInd w:w="-1245" w:type="dxa"/>
        <w:tblCellMar>
          <w:top w:w="0" w:type="dxa"/>
          <w:left w:w="108" w:type="dxa"/>
          <w:bottom w:w="0" w:type="dxa"/>
          <w:right w:w="108" w:type="dxa"/>
        </w:tblCellMar>
        <w:tblLook w:val="0600"/>
      </w:tblPr>
      <w:tblGrid>
        <w:gridCol w:w="2047"/>
        <w:gridCol w:w="840"/>
        <w:gridCol w:w="2927"/>
        <w:gridCol w:w="3928"/>
      </w:tblGrid>
      <w:tr>
        <w:trPr/>
        <w:tc>
          <w:tcPr>
            <w:tcW w:w="2047"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b/>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shd w:fill="auto" w:val="clear"/>
                <w:vertAlign w:val="baseline"/>
              </w:rPr>
              <w:t>COMPETENCIAS ESPECÍFICAS</w:t>
            </w:r>
          </w:p>
        </w:tc>
        <w:tc>
          <w:tcPr>
            <w:tcW w:w="840"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b/>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shd w:fill="auto" w:val="clear"/>
                <w:vertAlign w:val="baseline"/>
              </w:rPr>
              <w:t>%</w:t>
            </w:r>
          </w:p>
        </w:tc>
        <w:tc>
          <w:tcPr>
            <w:tcW w:w="2927"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b/>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shd w:fill="auto" w:val="clear"/>
                <w:vertAlign w:val="baseline"/>
              </w:rPr>
              <w:t>CRITERIOS DE EVALUACIÓN</w:t>
            </w:r>
          </w:p>
        </w:tc>
        <w:tc>
          <w:tcPr>
            <w:tcW w:w="3928"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b/>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shd w:fill="auto" w:val="clear"/>
                <w:vertAlign w:val="baseline"/>
              </w:rPr>
              <w:t>INSTRUMENTOS DE EVALUACIÓN</w:t>
            </w:r>
          </w:p>
        </w:tc>
      </w:tr>
      <w:tr>
        <w:trPr/>
        <w:tc>
          <w:tcPr>
            <w:tcW w:w="2047"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 FQ. 1.</w:t>
            </w:r>
          </w:p>
        </w:tc>
        <w:tc>
          <w:tcPr>
            <w:tcW w:w="840"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30%</w:t>
            </w:r>
          </w:p>
        </w:tc>
        <w:tc>
          <w:tcPr>
            <w:tcW w:w="2927"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1.1</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1.2  </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1.3 </w:t>
            </w:r>
          </w:p>
        </w:tc>
        <w:tc>
          <w:tcPr>
            <w:tcW w:w="3928"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PRUEBA OBJETIVA</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tc>
      </w:tr>
      <w:tr>
        <w:trPr/>
        <w:tc>
          <w:tcPr>
            <w:tcW w:w="2047"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 FQ.2</w:t>
            </w:r>
          </w:p>
        </w:tc>
        <w:tc>
          <w:tcPr>
            <w:tcW w:w="840"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25%</w:t>
            </w:r>
          </w:p>
        </w:tc>
        <w:tc>
          <w:tcPr>
            <w:tcW w:w="2927"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2.1 </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2.2.   </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2.3.</w:t>
            </w:r>
          </w:p>
        </w:tc>
        <w:tc>
          <w:tcPr>
            <w:tcW w:w="3928"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PRUEBA OBJETIVA.</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tc>
      </w:tr>
      <w:tr>
        <w:trPr/>
        <w:tc>
          <w:tcPr>
            <w:tcW w:w="2047"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 FQ.3.</w:t>
            </w:r>
          </w:p>
        </w:tc>
        <w:tc>
          <w:tcPr>
            <w:tcW w:w="840"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21%</w:t>
            </w:r>
          </w:p>
        </w:tc>
        <w:tc>
          <w:tcPr>
            <w:tcW w:w="2927"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3.1. y3.2.  15% </w:t>
            </w:r>
          </w:p>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3.3                6%</w:t>
            </w:r>
          </w:p>
        </w:tc>
        <w:tc>
          <w:tcPr>
            <w:tcW w:w="3928"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PRUEBA OBJETIVA 3.1 y 3.2 </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EJERCICIOS DE CLASE, Y CASA 3.3 </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INFORMES DE LABORATORIO 3.3 </w:t>
            </w:r>
          </w:p>
        </w:tc>
      </w:tr>
      <w:tr>
        <w:trPr/>
        <w:tc>
          <w:tcPr>
            <w:tcW w:w="2047"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 FQ.4.</w:t>
            </w:r>
          </w:p>
        </w:tc>
        <w:tc>
          <w:tcPr>
            <w:tcW w:w="840"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8%</w:t>
            </w:r>
          </w:p>
        </w:tc>
        <w:tc>
          <w:tcPr>
            <w:tcW w:w="2927"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4.1. </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4.2 </w:t>
            </w:r>
          </w:p>
        </w:tc>
        <w:tc>
          <w:tcPr>
            <w:tcW w:w="3928"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ACTIVIDADES DE MANEJO DE LA INFORMACIÓN</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TRABAJO EN CLASE Y CASA</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CUADERNO</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INFORMES DE LABORATORIO</w:t>
            </w:r>
          </w:p>
        </w:tc>
      </w:tr>
      <w:tr>
        <w:trPr/>
        <w:tc>
          <w:tcPr>
            <w:tcW w:w="2047"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 FQ. 5</w:t>
            </w:r>
          </w:p>
        </w:tc>
        <w:tc>
          <w:tcPr>
            <w:tcW w:w="840"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8%</w:t>
            </w:r>
          </w:p>
        </w:tc>
        <w:tc>
          <w:tcPr>
            <w:tcW w:w="2927"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5.1  </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5.2</w:t>
            </w:r>
          </w:p>
        </w:tc>
        <w:tc>
          <w:tcPr>
            <w:tcW w:w="3928"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INFORMES DE LABORATORIO</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TRABAJO EN CLASE Y CASA</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CUADERNO </w:t>
            </w:r>
          </w:p>
        </w:tc>
      </w:tr>
      <w:tr>
        <w:trPr/>
        <w:tc>
          <w:tcPr>
            <w:tcW w:w="2047"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C.E. FQ.6.</w:t>
            </w:r>
          </w:p>
        </w:tc>
        <w:tc>
          <w:tcPr>
            <w:tcW w:w="840"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8%</w:t>
            </w:r>
          </w:p>
        </w:tc>
        <w:tc>
          <w:tcPr>
            <w:tcW w:w="2927"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6.1 </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6.2</w:t>
            </w:r>
          </w:p>
        </w:tc>
        <w:tc>
          <w:tcPr>
            <w:tcW w:w="3928"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INFORMES DE LABORATORIO</w:t>
            </w:r>
          </w:p>
          <w:p>
            <w:pPr>
              <w:pStyle w:val="Normal1"/>
              <w:keepNext w:val="false"/>
              <w:keepLines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TRABAJO EN CLASE Y CASA </w:t>
            </w:r>
          </w:p>
        </w:tc>
      </w:tr>
    </w:tbl>
    <w:p>
      <w:pPr>
        <w:pStyle w:val="Normal1"/>
        <w:keepNext w:val="false"/>
        <w:keepLines w:val="false"/>
        <w:pageBreakBefore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5. EVALUACIÓN INICIAL</w:t>
      </w:r>
    </w:p>
    <w:p>
      <w:pPr>
        <w:pStyle w:val="Normal1"/>
        <w:keepNext w:val="false"/>
        <w:keepLines w:val="false"/>
        <w:pageBreakBefore w:val="false"/>
        <w:widowControl/>
        <w:pBdr/>
        <w:shd w:val="clear" w:fill="auto"/>
        <w:tabs>
          <w:tab w:val="clear" w:pos="720"/>
          <w:tab w:val="left" w:pos="284" w:leader="none"/>
        </w:tabs>
        <w:spacing w:lineRule="auto" w:line="276" w:before="0" w:after="200"/>
        <w:ind w:left="0" w:right="0" w:firstLine="284"/>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El proceso de enseñanza y del aprendizaje de alumnos y alumnas se dirige hacia el logro de una serie de objetivos, lo que implica partir de un "estado inicial" (que debe conocerse) sobre el que se irán operando los cambios producidos por el proceso enseñanza-aprendizaje.</w:t>
      </w:r>
    </w:p>
    <w:p>
      <w:pPr>
        <w:pStyle w:val="Normal1"/>
        <w:keepNext w:val="false"/>
        <w:keepLines w:val="false"/>
        <w:pageBreakBefore w:val="false"/>
        <w:widowControl/>
        <w:pBdr/>
        <w:shd w:val="clear" w:fill="auto"/>
        <w:tabs>
          <w:tab w:val="clear" w:pos="720"/>
          <w:tab w:val="left" w:pos="284" w:leader="none"/>
        </w:tabs>
        <w:spacing w:lineRule="auto" w:line="276" w:before="0" w:after="200"/>
        <w:ind w:left="0" w:right="0" w:firstLine="284"/>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El conocimiento de los niveles, características y necesidades de los alumnos nos permitirán tomar una serie de decisiones relativas a:</w:t>
      </w:r>
    </w:p>
    <w:p>
      <w:pPr>
        <w:pStyle w:val="Normal1"/>
        <w:keepNext w:val="false"/>
        <w:keepLines w:val="false"/>
        <w:pageBreakBefore w:val="false"/>
        <w:widowControl/>
        <w:numPr>
          <w:ilvl w:val="0"/>
          <w:numId w:val="7"/>
        </w:numPr>
        <w:pBdr/>
        <w:shd w:val="clear" w:fill="auto"/>
        <w:tabs>
          <w:tab w:val="clear" w:pos="720"/>
          <w:tab w:val="left" w:pos="284" w:leader="none"/>
        </w:tabs>
        <w:spacing w:lineRule="auto" w:line="240" w:before="0" w:after="0"/>
        <w:ind w:left="284"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planificar y programar las actividades docentes.</w:t>
      </w:r>
    </w:p>
    <w:p>
      <w:pPr>
        <w:pStyle w:val="Normal1"/>
        <w:keepNext w:val="false"/>
        <w:keepLines w:val="false"/>
        <w:pageBreakBefore w:val="false"/>
        <w:widowControl/>
        <w:numPr>
          <w:ilvl w:val="0"/>
          <w:numId w:val="7"/>
        </w:numPr>
        <w:pBdr/>
        <w:shd w:val="clear" w:fill="auto"/>
        <w:tabs>
          <w:tab w:val="clear" w:pos="720"/>
          <w:tab w:val="left" w:pos="284" w:leader="none"/>
        </w:tabs>
        <w:spacing w:lineRule="auto" w:line="240" w:before="0" w:after="0"/>
        <w:ind w:left="284"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adoptar medidas de atención a la diversidad en el aula.</w:t>
      </w:r>
    </w:p>
    <w:p>
      <w:pPr>
        <w:pStyle w:val="Normal1"/>
        <w:keepNext w:val="false"/>
        <w:keepLines w:val="false"/>
        <w:pageBreakBefore w:val="false"/>
        <w:widowControl/>
        <w:numPr>
          <w:ilvl w:val="0"/>
          <w:numId w:val="7"/>
        </w:numPr>
        <w:pBdr/>
        <w:shd w:val="clear" w:fill="auto"/>
        <w:tabs>
          <w:tab w:val="clear" w:pos="720"/>
          <w:tab w:val="left" w:pos="284" w:leader="none"/>
        </w:tabs>
        <w:spacing w:lineRule="auto" w:line="276" w:before="0" w:after="200"/>
        <w:ind w:left="284"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metodologías a emplear.</w:t>
      </w:r>
    </w:p>
    <w:p>
      <w:pPr>
        <w:pStyle w:val="Normal1"/>
        <w:keepNext w:val="false"/>
        <w:keepLines w:val="false"/>
        <w:pageBreakBefore w:val="false"/>
        <w:widowControl/>
        <w:pBdr/>
        <w:shd w:val="clear" w:fill="auto"/>
        <w:tabs>
          <w:tab w:val="clear" w:pos="720"/>
          <w:tab w:val="left" w:pos="284" w:leader="none"/>
        </w:tabs>
        <w:spacing w:lineRule="auto" w:line="276" w:before="0" w:after="200"/>
        <w:ind w:left="0" w:right="0" w:firstLine="284"/>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El proceso de evaluación inicial exige que se atienda más a los posibles recursos y capacidades de los alumnos que a las posibles deficiencias que presenten, aunque sin olvidar éstas.</w:t>
      </w:r>
    </w:p>
    <w:p>
      <w:pPr>
        <w:pStyle w:val="Normal1"/>
        <w:keepNext w:val="false"/>
        <w:keepLines w:val="false"/>
        <w:pageBreakBefore w:val="false"/>
        <w:widowControl/>
        <w:pBdr/>
        <w:shd w:val="clear" w:fill="auto"/>
        <w:tabs>
          <w:tab w:val="clear" w:pos="720"/>
          <w:tab w:val="left" w:pos="284" w:leader="none"/>
        </w:tabs>
        <w:spacing w:lineRule="auto" w:line="276" w:before="0" w:after="200"/>
        <w:ind w:left="0" w:right="0" w:firstLine="284"/>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xml:space="preserve">Desde este supuesto lo primero que conviene explorar y conocer son las actitudes de los alumnos frente a los contenidos de la materia. El conocimiento de estas actitudes proporcionará datos valiosos para organizar actividades que fomenten la "motivación por aprender" en los alumnos/as. </w:t>
      </w:r>
    </w:p>
    <w:p>
      <w:pPr>
        <w:pStyle w:val="Normal1"/>
        <w:keepNext w:val="false"/>
        <w:keepLines w:val="false"/>
        <w:pageBreakBefore w:val="false"/>
        <w:widowControl/>
        <w:pBdr/>
        <w:shd w:val="clear" w:fill="auto"/>
        <w:tabs>
          <w:tab w:val="clear" w:pos="720"/>
          <w:tab w:val="left" w:pos="284" w:leader="none"/>
        </w:tabs>
        <w:spacing w:lineRule="auto" w:line="276" w:before="0" w:after="200"/>
        <w:ind w:left="0" w:right="0" w:firstLine="284"/>
        <w:jc w:val="both"/>
        <w:rPr>
          <w:rFonts w:ascii="Cambria" w:hAnsi="Cambria" w:eastAsia="Cambria" w:cs="Cambria"/>
          <w:b w:val="false"/>
          <w:b w:val="false"/>
          <w:i w:val="false"/>
          <w:i w:val="false"/>
          <w:caps w:val="false"/>
          <w:smallCaps w:val="false"/>
          <w:strike w:val="false"/>
          <w:dstrike w:val="false"/>
          <w:color w:val="93C47D"/>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xml:space="preserve">En segundo lugar, interesa conocer el conocimiento científico de cada alumno/a relacionado con la materia de cursos anteriores. </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Durante las primeras semanas del curso, tras la toma de contacto con los alumnos, se realizará la evaluación inicial basada en una prueba escrita tipo test con contenidos trabajados en asignaturas de cursos anteriores, ya que es la primera vez que el alumnado cursa la materia de física y química, con objeto de facilitar la continuidad entre las etapas y favorecer el proceso educativo del alumnado. En dicha evaluación se tendrá en cuenta la información aportada por el profesorado de la etapa o curso anterior.</w:t>
      </w:r>
      <w:r>
        <w:rPr>
          <w:rFonts w:eastAsia="Calibri" w:cs="Calibri"/>
          <w:b w:val="false"/>
          <w:i w:val="false"/>
          <w:caps w:val="false"/>
          <w:smallCaps w:val="false"/>
          <w:strike w:val="false"/>
          <w:dstrike w:val="false"/>
          <w:color w:val="93C47D"/>
          <w:position w:val="0"/>
          <w:sz w:val="22"/>
          <w:sz w:val="22"/>
          <w:szCs w:val="22"/>
          <w:u w:val="none"/>
          <w:shd w:fill="auto" w:val="clear"/>
          <w:vertAlign w:val="baseline"/>
        </w:rPr>
        <w:t xml:space="preserve">  </w:t>
      </w:r>
    </w:p>
    <w:p>
      <w:pPr>
        <w:pStyle w:val="Normal1"/>
        <w:keepNext w:val="false"/>
        <w:keepLines w:val="false"/>
        <w:pageBreakBefore w:val="false"/>
        <w:widowControl w:val="false"/>
        <w:pBdr/>
        <w:shd w:val="clear" w:fill="auto"/>
        <w:spacing w:lineRule="auto" w:line="240" w:before="240" w:after="24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Como consecuencia del análisis de los resultados de la evaluación se decidirá qué saberes básicos son necesarios reforzar, el alumnado que podría necesitar alguna adaptación específica o incluso la modificación de la temporalización de la programación didáctica.</w:t>
      </w:r>
    </w:p>
    <w:p>
      <w:pPr>
        <w:pStyle w:val="Normal1"/>
        <w:keepNext w:val="false"/>
        <w:keepLines w:val="false"/>
        <w:pageBreakBefore w:val="false"/>
        <w:widowControl w:val="false"/>
        <w:pBdr/>
        <w:shd w:val="clear" w:fill="auto"/>
        <w:spacing w:lineRule="auto" w:line="240" w:before="240" w:after="24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6. ACTUACIONES GENERALES DE ATENCIÓN A LAS DIFERENCIAS INDIVIDUALES</w:t>
      </w:r>
    </w:p>
    <w:p>
      <w:pPr>
        <w:pStyle w:val="Normal1"/>
        <w:keepNext w:val="false"/>
        <w:keepLines w:val="false"/>
        <w:pageBreakBefore w:val="false"/>
        <w:widowControl w:val="false"/>
        <w:pBdr/>
        <w:shd w:val="clear" w:fill="auto"/>
        <w:spacing w:lineRule="auto" w:line="240" w:before="63" w:after="0"/>
        <w:ind w:left="0" w:right="103"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Los alumnos, debido a diferencias de capacidades, intereses o motivación, presentan ritmos distintos de aprendizaje que, una vez detectados, requerirán un tratamiento específico por parte del profesor.</w:t>
      </w:r>
    </w:p>
    <w:p>
      <w:pPr>
        <w:pStyle w:val="Normal1"/>
        <w:keepNext w:val="false"/>
        <w:keepLines w:val="false"/>
        <w:pageBreakBefore w:val="false"/>
        <w:widowControl w:val="false"/>
        <w:pBdr/>
        <w:shd w:val="clear" w:fill="auto"/>
        <w:spacing w:lineRule="auto" w:line="240" w:before="63" w:after="0"/>
        <w:ind w:left="0" w:right="103"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63" w:after="0"/>
        <w:ind w:left="0" w:right="103"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Como referencia para concretar las medidas se tendrá en cuenta:</w:t>
      </w:r>
    </w:p>
    <w:p>
      <w:pPr>
        <w:pStyle w:val="Normal1"/>
        <w:keepNext w:val="false"/>
        <w:keepLines w:val="false"/>
        <w:pageBreakBefore w:val="false"/>
        <w:widowControl w:val="false"/>
        <w:pBdr/>
        <w:shd w:val="clear" w:fill="auto"/>
        <w:spacing w:lineRule="auto" w:line="240" w:before="63" w:after="0"/>
        <w:ind w:left="0" w:right="103"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Los informes individuales aportados por el profesorado del curso o etapa anterior.</w:t>
      </w:r>
    </w:p>
    <w:p>
      <w:pPr>
        <w:pStyle w:val="Normal1"/>
        <w:keepNext w:val="false"/>
        <w:keepLines w:val="false"/>
        <w:pageBreakBefore w:val="false"/>
        <w:widowControl w:val="false"/>
        <w:pBdr/>
        <w:shd w:val="clear" w:fill="auto"/>
        <w:spacing w:lineRule="auto" w:line="240" w:before="63" w:after="0"/>
        <w:ind w:left="0" w:right="103"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El informe del Orientador, cuando sea necesario</w:t>
      </w:r>
    </w:p>
    <w:p>
      <w:pPr>
        <w:pStyle w:val="Normal1"/>
        <w:keepNext w:val="false"/>
        <w:keepLines w:val="false"/>
        <w:pageBreakBefore w:val="false"/>
        <w:widowControl w:val="false"/>
        <w:pBdr/>
        <w:shd w:val="clear" w:fill="auto"/>
        <w:spacing w:lineRule="auto" w:line="240" w:before="63" w:after="0"/>
        <w:ind w:left="0" w:right="103"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La información de la evaluación inicial llevada a cabo al principio del curso</w:t>
      </w:r>
    </w:p>
    <w:p>
      <w:pPr>
        <w:pStyle w:val="Normal1"/>
        <w:keepNext w:val="false"/>
        <w:keepLines w:val="false"/>
        <w:pageBreakBefore w:val="false"/>
        <w:widowControl w:val="false"/>
        <w:pBdr/>
        <w:shd w:val="clear" w:fill="auto"/>
        <w:spacing w:lineRule="auto" w:line="240" w:before="63" w:after="0"/>
        <w:ind w:left="0" w:right="103"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El Plan de Atención a la Diversidad del centro</w:t>
      </w:r>
    </w:p>
    <w:p>
      <w:pPr>
        <w:pStyle w:val="Normal1"/>
        <w:keepNext w:val="false"/>
        <w:keepLines w:val="false"/>
        <w:pageBreakBefore w:val="false"/>
        <w:widowControl w:val="false"/>
        <w:pBdr/>
        <w:shd w:val="clear" w:fill="auto"/>
        <w:spacing w:lineRule="auto" w:line="240" w:before="63" w:after="0"/>
        <w:ind w:left="0" w:right="103" w:hanging="0"/>
        <w:jc w:val="both"/>
        <w:rPr>
          <w:rFonts w:ascii="Calibri" w:hAnsi="Calibri" w:eastAsia="Calibri" w:cs="Calibri"/>
          <w:b w:val="false"/>
          <w:b w:val="false"/>
          <w:i w:val="false"/>
          <w:i w:val="false"/>
          <w:caps w:val="false"/>
          <w:smallCaps w:val="false"/>
          <w:strike w:val="false"/>
          <w:dstrike w:val="false"/>
          <w:color w:val="FF0000"/>
          <w:position w:val="0"/>
          <w:sz w:val="22"/>
          <w:sz w:val="22"/>
          <w:szCs w:val="22"/>
          <w:u w:val="none"/>
          <w:vertAlign w:val="baseline"/>
        </w:rPr>
      </w:pPr>
      <w:r>
        <w:rPr>
          <w:rFonts w:eastAsia="Calibri" w:cs="Calibri"/>
          <w:b w:val="false"/>
          <w:i w:val="false"/>
          <w:caps w:val="false"/>
          <w:smallCaps w:val="false"/>
          <w:strike w:val="false"/>
          <w:dstrike w:val="false"/>
          <w:color w:val="FF0000"/>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xml:space="preserve">La Orden ECD/1172/2022 establece en su Artículo 36 que: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i/>
          <w:caps w:val="false"/>
          <w:smallCaps w:val="false"/>
          <w:strike w:val="false"/>
          <w:dstrike w:val="false"/>
          <w:color w:val="00000A"/>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t>1. La Educación Secundaria Obligatoria se organizará de acuerdo con los principios de educación común y de atención a la diversidad del alumnado. Con objeto de reforzar la inclusión y asegurar el derecho a una educación de calidad, en esta etapa se pondrá especial énfasis en la atención individualizada a los alumnos y a las alumnas, en la detección precoz de sus necesidades específicas y en el establecimiento de mecanismos de apoyo y refuerzo para evitar la permanencia en un mismo curso, particularmente en entornos socialmente vulnerables y teniendo en cuenta sus circunstancias y sus diferentes ritmos de aprendizaje.</w:t>
      </w:r>
    </w:p>
    <w:p>
      <w:pPr>
        <w:pStyle w:val="Normal1"/>
        <w:keepNext w:val="false"/>
        <w:keepLines w:val="false"/>
        <w:pageBreakBefore w:val="false"/>
        <w:widowControl w:val="false"/>
        <w:pBdr/>
        <w:shd w:val="clear" w:fill="auto"/>
        <w:spacing w:lineRule="auto" w:line="240" w:before="63" w:after="0"/>
        <w:ind w:left="0" w:right="103" w:hanging="0"/>
        <w:jc w:val="both"/>
        <w:rPr>
          <w:rFonts w:ascii="Calibri" w:hAnsi="Calibri" w:eastAsia="Calibri" w:cs="Calibri"/>
          <w:b w:val="false"/>
          <w:b w:val="false"/>
          <w:i w:val="false"/>
          <w:i w:val="false"/>
          <w:caps w:val="false"/>
          <w:smallCaps w:val="false"/>
          <w:strike w:val="false"/>
          <w:dstrike w:val="false"/>
          <w:color w:val="FF0000"/>
          <w:position w:val="0"/>
          <w:sz w:val="22"/>
          <w:sz w:val="22"/>
          <w:szCs w:val="22"/>
          <w:u w:val="none"/>
          <w:vertAlign w:val="baseline"/>
        </w:rPr>
      </w:pPr>
      <w:r>
        <w:rPr>
          <w:rFonts w:eastAsia="Calibri" w:cs="Calibri"/>
          <w:b w:val="false"/>
          <w:i w:val="false"/>
          <w:caps w:val="false"/>
          <w:smallCaps w:val="false"/>
          <w:strike w:val="false"/>
          <w:dstrike w:val="false"/>
          <w:color w:val="FF0000"/>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firstLine="397"/>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xml:space="preserve">De forma que en cualquier caso se debe garantizar que todos los alumnos/as de cada grupo alcancen el máximo desarrollo posible de sus capacidades, utilizando para ello los medios que sean necesarios. En la materia de Física y Química en 2º de ESO se llevarán a cabo las siguientes estrategias para atender a la diversidad del alumnado: </w:t>
      </w:r>
    </w:p>
    <w:p>
      <w:pPr>
        <w:pStyle w:val="Normal1"/>
        <w:keepNext w:val="false"/>
        <w:keepLines w:val="false"/>
        <w:pageBreakBefore w:val="false"/>
        <w:widowControl/>
        <w:numPr>
          <w:ilvl w:val="0"/>
          <w:numId w:val="8"/>
        </w:numPr>
        <w:pBdr/>
        <w:shd w:val="clear" w:fill="auto"/>
        <w:spacing w:lineRule="auto" w:line="276" w:before="0" w:after="200"/>
        <w:ind w:left="720" w:right="0" w:hanging="36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xml:space="preserve">Atención individualizada a cada alumno/a: el docente atenderá de forma individual a cada alumno/a durante las clases para orientarlo en sus aprendizajes, para resolver sus dudas y para estar al día de sus progresos. </w:t>
      </w:r>
    </w:p>
    <w:p>
      <w:pPr>
        <w:pStyle w:val="Normal1"/>
        <w:keepNext w:val="false"/>
        <w:keepLines w:val="false"/>
        <w:pageBreakBefore w:val="false"/>
        <w:widowControl/>
        <w:numPr>
          <w:ilvl w:val="0"/>
          <w:numId w:val="8"/>
        </w:numPr>
        <w:pBdr/>
        <w:shd w:val="clear" w:fill="auto"/>
        <w:spacing w:lineRule="auto" w:line="276" w:before="0" w:after="200"/>
        <w:ind w:left="720" w:right="0" w:hanging="36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xml:space="preserve">Actividades de refuerzo: para aquellos alumnos/as que muestren dificultades en la adquisición de nuevos aprendizajes se propondrán actividades que sirvan para afianzar los contenidos mínimos de la materia. En este sentido, también se facilitarán a los alumnos/as hojas con ejercicios/problemas y sus soluciones para que puedan repasar de forma autónoma. </w:t>
      </w:r>
    </w:p>
    <w:p>
      <w:pPr>
        <w:pStyle w:val="Normal1"/>
        <w:keepNext w:val="false"/>
        <w:keepLines w:val="false"/>
        <w:pageBreakBefore w:val="false"/>
        <w:widowControl/>
        <w:pBdr/>
        <w:shd w:val="clear" w:fill="auto"/>
        <w:spacing w:lineRule="auto" w:line="276" w:before="0" w:after="200"/>
        <w:ind w:left="0" w:right="0" w:firstLine="397"/>
        <w:jc w:val="both"/>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r>
    </w:p>
    <w:p>
      <w:pPr>
        <w:pStyle w:val="Normal1"/>
        <w:keepNext w:val="false"/>
        <w:keepLines w:val="false"/>
        <w:pageBreakBefore w:val="false"/>
        <w:widowControl/>
        <w:pBdr/>
        <w:shd w:val="clear" w:fill="auto"/>
        <w:tabs>
          <w:tab w:val="clear" w:pos="720"/>
          <w:tab w:val="left" w:pos="284" w:leader="none"/>
        </w:tabs>
        <w:spacing w:lineRule="auto" w:line="276" w:before="0" w:after="200"/>
        <w:ind w:left="0" w:right="0" w:firstLine="283"/>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xml:space="preserve">Mientras que en referencia al alumnado con necesidad específica de apoyo educativo en la Orden ECD/1172/2022 se sostiene que: </w:t>
      </w:r>
    </w:p>
    <w:p>
      <w:pPr>
        <w:pStyle w:val="Normal1"/>
        <w:keepNext w:val="false"/>
        <w:keepLines w:val="false"/>
        <w:pageBreakBefore w:val="false"/>
        <w:widowControl/>
        <w:pBdr/>
        <w:shd w:val="clear" w:fill="auto"/>
        <w:tabs>
          <w:tab w:val="clear" w:pos="720"/>
          <w:tab w:val="left" w:pos="284" w:leader="none"/>
        </w:tabs>
        <w:spacing w:lineRule="auto" w:line="276" w:before="0" w:after="200"/>
        <w:ind w:left="0" w:right="0" w:firstLine="284"/>
        <w:jc w:val="both"/>
        <w:rPr>
          <w:rFonts w:ascii="Cambria" w:hAnsi="Cambria" w:eastAsia="Cambria" w:cs="Cambria"/>
          <w:b w:val="false"/>
          <w:b w:val="false"/>
          <w:i/>
          <w:i/>
          <w:caps w:val="false"/>
          <w:smallCaps w:val="false"/>
          <w:strike w:val="false"/>
          <w:dstrike w:val="false"/>
          <w:color w:val="FF0000"/>
          <w:position w:val="0"/>
          <w:sz w:val="22"/>
          <w:sz w:val="22"/>
          <w:szCs w:val="22"/>
          <w:u w:val="none"/>
          <w:vertAlign w:val="baseline"/>
        </w:rPr>
      </w:pPr>
      <w:r>
        <w:rPr>
          <w:rFonts w:eastAsia="Calibri" w:cs="Calibri"/>
          <w:b w:val="false"/>
          <w:i/>
          <w:caps w:val="false"/>
          <w:smallCaps w:val="false"/>
          <w:strike w:val="false"/>
          <w:dstrike w:val="false"/>
          <w:color w:val="00000A"/>
          <w:position w:val="0"/>
          <w:sz w:val="22"/>
          <w:sz w:val="22"/>
          <w:szCs w:val="22"/>
          <w:u w:val="none"/>
          <w:shd w:fill="auto" w:val="clear"/>
          <w:vertAlign w:val="baseline"/>
        </w:rPr>
        <w:t xml:space="preserve">Se adoptarán medidas curriculares y organizativas inclusivas para asegurar que el alumnado con necesidad específica de apoyo educativo pueda alcanzar los objetivos y las competencias de la etapa y el máximo desarrollo de sus capacidades personales. </w:t>
      </w:r>
    </w:p>
    <w:p>
      <w:pPr>
        <w:pStyle w:val="Normal1"/>
        <w:keepNext w:val="false"/>
        <w:keepLines w:val="false"/>
        <w:pageBreakBefore w:val="false"/>
        <w:widowControl w:val="false"/>
        <w:pBdr/>
        <w:shd w:val="clear" w:fill="auto"/>
        <w:tabs>
          <w:tab w:val="clear" w:pos="720"/>
          <w:tab w:val="left" w:pos="0" w:leader="none"/>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s>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FF0000"/>
          <w:position w:val="0"/>
          <w:sz w:val="22"/>
          <w:sz w:val="22"/>
          <w:szCs w:val="22"/>
          <w:u w:val="none"/>
          <w:vertAlign w:val="baseline"/>
        </w:rPr>
      </w:pPr>
      <w:r>
        <w:rPr>
          <w:rFonts w:eastAsia="Calibri" w:cs="Calibri"/>
          <w:b w:val="false"/>
          <w:i w:val="false"/>
          <w:caps w:val="false"/>
          <w:smallCaps w:val="false"/>
          <w:strike w:val="false"/>
          <w:dstrike w:val="false"/>
          <w:color w:val="FF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tabs>
          <w:tab w:val="clear" w:pos="720"/>
          <w:tab w:val="left" w:pos="0" w:leader="none"/>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s>
        <w:spacing w:lineRule="auto" w:line="240" w:before="0" w:after="0"/>
        <w:ind w:left="0" w:right="0" w:firstLine="285"/>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Las adaptaciones a realizar podrán ser </w:t>
      </w:r>
      <w:r>
        <w:rPr>
          <w:rFonts w:eastAsia="Calibri" w:cs="Calibri"/>
          <w:b/>
          <w:i w:val="false"/>
          <w:caps w:val="false"/>
          <w:smallCaps w:val="false"/>
          <w:strike w:val="false"/>
          <w:dstrike w:val="false"/>
          <w:color w:val="000000"/>
          <w:position w:val="0"/>
          <w:sz w:val="22"/>
          <w:sz w:val="22"/>
          <w:szCs w:val="22"/>
          <w:u w:val="none"/>
          <w:shd w:fill="auto" w:val="clear"/>
          <w:vertAlign w:val="baseline"/>
        </w:rPr>
        <w:t>no significativas</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las cuales se realizarán mediante:</w:t>
      </w:r>
    </w:p>
    <w:p>
      <w:pPr>
        <w:pStyle w:val="Normal1"/>
        <w:keepNext w:val="false"/>
        <w:keepLines w:val="false"/>
        <w:pageBreakBefore w:val="false"/>
        <w:widowControl w:val="false"/>
        <w:pBdr/>
        <w:shd w:val="clear" w:fill="auto"/>
        <w:tabs>
          <w:tab w:val="clear" w:pos="720"/>
          <w:tab w:val="left" w:pos="0" w:leader="none"/>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s>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numPr>
          <w:ilvl w:val="0"/>
          <w:numId w:val="1"/>
        </w:numPr>
        <w:pBdr/>
        <w:shd w:val="clear" w:fill="auto"/>
        <w:tabs>
          <w:tab w:val="clear" w:pos="720"/>
          <w:tab w:val="left" w:pos="0" w:leader="none"/>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s>
        <w:spacing w:lineRule="auto" w:line="240" w:before="0" w:after="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uso de una metodología diferente;</w:t>
      </w:r>
    </w:p>
    <w:p>
      <w:pPr>
        <w:pStyle w:val="Normal1"/>
        <w:keepNext w:val="false"/>
        <w:keepLines w:val="false"/>
        <w:pageBreakBefore w:val="false"/>
        <w:widowControl w:val="false"/>
        <w:numPr>
          <w:ilvl w:val="0"/>
          <w:numId w:val="1"/>
        </w:numPr>
        <w:pBdr/>
        <w:shd w:val="clear" w:fill="auto"/>
        <w:tabs>
          <w:tab w:val="clear" w:pos="720"/>
          <w:tab w:val="left" w:pos="0" w:leader="none"/>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s>
        <w:spacing w:lineRule="auto" w:line="240" w:before="0" w:after="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diseño de distintas actividades de aprendizaje;</w:t>
      </w:r>
    </w:p>
    <w:p>
      <w:pPr>
        <w:pStyle w:val="Normal1"/>
        <w:keepNext w:val="false"/>
        <w:keepLines w:val="false"/>
        <w:pageBreakBefore w:val="false"/>
        <w:widowControl w:val="false"/>
        <w:numPr>
          <w:ilvl w:val="0"/>
          <w:numId w:val="1"/>
        </w:numPr>
        <w:pBdr/>
        <w:shd w:val="clear" w:fill="auto"/>
        <w:tabs>
          <w:tab w:val="clear" w:pos="720"/>
          <w:tab w:val="left" w:pos="0" w:leader="none"/>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s>
        <w:spacing w:lineRule="auto" w:line="240" w:before="0" w:after="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mayor ayuda por parte del profesor;</w:t>
      </w:r>
    </w:p>
    <w:p>
      <w:pPr>
        <w:pStyle w:val="Normal1"/>
        <w:keepNext w:val="false"/>
        <w:keepLines w:val="false"/>
        <w:pageBreakBefore w:val="false"/>
        <w:widowControl w:val="false"/>
        <w:numPr>
          <w:ilvl w:val="0"/>
          <w:numId w:val="1"/>
        </w:numPr>
        <w:pBdr/>
        <w:shd w:val="clear" w:fill="auto"/>
        <w:tabs>
          <w:tab w:val="clear" w:pos="720"/>
          <w:tab w:val="left" w:pos="0" w:leader="none"/>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s>
        <w:spacing w:lineRule="auto" w:line="240" w:before="0" w:after="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ralentizar o acelerar la introducción de nuevos conocimientos;</w:t>
      </w:r>
    </w:p>
    <w:p>
      <w:pPr>
        <w:pStyle w:val="Normal1"/>
        <w:keepNext w:val="false"/>
        <w:keepLines w:val="false"/>
        <w:pageBreakBefore w:val="false"/>
        <w:widowControl w:val="false"/>
        <w:numPr>
          <w:ilvl w:val="0"/>
          <w:numId w:val="1"/>
        </w:numPr>
        <w:pBdr/>
        <w:shd w:val="clear" w:fill="auto"/>
        <w:tabs>
          <w:tab w:val="clear" w:pos="720"/>
          <w:tab w:val="left" w:pos="0" w:leader="none"/>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s>
        <w:spacing w:lineRule="auto" w:line="240" w:before="0" w:after="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hacer hincapié en unos contenidos u otros;</w:t>
      </w:r>
    </w:p>
    <w:p>
      <w:pPr>
        <w:pStyle w:val="Normal1"/>
        <w:keepNext w:val="false"/>
        <w:keepLines w:val="false"/>
        <w:pageBreakBefore w:val="false"/>
        <w:widowControl w:val="false"/>
        <w:numPr>
          <w:ilvl w:val="0"/>
          <w:numId w:val="1"/>
        </w:numPr>
        <w:pBdr/>
        <w:shd w:val="clear" w:fill="auto"/>
        <w:tabs>
          <w:tab w:val="clear" w:pos="720"/>
          <w:tab w:val="left" w:pos="0" w:leader="none"/>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s>
        <w:spacing w:lineRule="auto" w:line="240" w:before="0" w:after="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cambiar el orden de aparición de los contenidos;</w:t>
      </w:r>
    </w:p>
    <w:p>
      <w:pPr>
        <w:pStyle w:val="Normal1"/>
        <w:keepNext w:val="false"/>
        <w:keepLines w:val="false"/>
        <w:pageBreakBefore w:val="false"/>
        <w:widowControl w:val="false"/>
        <w:numPr>
          <w:ilvl w:val="0"/>
          <w:numId w:val="1"/>
        </w:numPr>
        <w:pBdr/>
        <w:shd w:val="clear" w:fill="auto"/>
        <w:tabs>
          <w:tab w:val="clear" w:pos="720"/>
          <w:tab w:val="left" w:pos="0" w:leader="none"/>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s>
        <w:spacing w:lineRule="auto" w:line="240" w:before="0" w:after="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modificar la tipología de examen;</w:t>
      </w:r>
    </w:p>
    <w:p>
      <w:pPr>
        <w:pStyle w:val="Normal1"/>
        <w:keepNext w:val="false"/>
        <w:keepLines w:val="false"/>
        <w:pageBreakBefore w:val="false"/>
        <w:widowControl w:val="false"/>
        <w:pBdr/>
        <w:shd w:val="clear" w:fill="auto"/>
        <w:tabs>
          <w:tab w:val="clear" w:pos="720"/>
          <w:tab w:val="left" w:pos="0" w:leader="none"/>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s>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FF0000"/>
          <w:position w:val="0"/>
          <w:sz w:val="22"/>
          <w:sz w:val="22"/>
          <w:szCs w:val="22"/>
          <w:u w:val="none"/>
          <w:vertAlign w:val="baseline"/>
        </w:rPr>
      </w:pPr>
      <w:r>
        <w:rPr>
          <w:rFonts w:eastAsia="Calibri" w:cs="Calibri"/>
          <w:b w:val="false"/>
          <w:i w:val="false"/>
          <w:caps w:val="false"/>
          <w:smallCaps w:val="false"/>
          <w:strike w:val="false"/>
          <w:dstrike w:val="false"/>
          <w:color w:val="FF0000"/>
          <w:position w:val="0"/>
          <w:sz w:val="22"/>
          <w:sz w:val="22"/>
          <w:szCs w:val="22"/>
          <w:u w:val="none"/>
          <w:shd w:fill="auto" w:val="clear"/>
          <w:vertAlign w:val="baseline"/>
        </w:rPr>
      </w:r>
    </w:p>
    <w:p>
      <w:pPr>
        <w:pStyle w:val="Normal1"/>
        <w:keepNext w:val="false"/>
        <w:keepLines w:val="false"/>
        <w:pageBreakBefore w:val="false"/>
        <w:widowControl/>
        <w:pBdr/>
        <w:shd w:val="clear" w:fill="auto"/>
        <w:tabs>
          <w:tab w:val="clear" w:pos="720"/>
          <w:tab w:val="left" w:pos="284" w:leader="none"/>
        </w:tabs>
        <w:spacing w:lineRule="auto" w:line="276" w:before="0" w:after="200"/>
        <w:ind w:left="0" w:right="0" w:firstLine="283"/>
        <w:jc w:val="both"/>
        <w:rPr>
          <w:rFonts w:ascii="Cambria" w:hAnsi="Cambria" w:eastAsia="Cambria" w:cs="Cambria"/>
          <w:b w:val="false"/>
          <w:b w:val="false"/>
          <w:i w:val="false"/>
          <w:i w:val="false"/>
          <w:caps w:val="false"/>
          <w:smallCaps w:val="false"/>
          <w:strike w:val="false"/>
          <w:dstrike w:val="false"/>
          <w:color w:val="FF0000"/>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En el caso de que haya que elaborar actuaciones específicas de intervención educativa (adaptaciones significativas), se adaptarán los saberes básicos de la materia así como los criterios y los instrumentos de evaluación a la situación académica del alumno/a. En esos casos, tanto el departamento de Física y Química como el departamento de Orientación dispondrán de una copia de la actuación específica de intervención educativa de la materia.</w:t>
      </w:r>
    </w:p>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val="false"/>
          <w:b w:val="false"/>
          <w:i w:val="false"/>
          <w:i w:val="false"/>
          <w:caps w:val="false"/>
          <w:smallCaps w:val="false"/>
          <w:strike w:val="false"/>
          <w:dstrike w:val="false"/>
          <w:color w:val="FF0000"/>
          <w:position w:val="0"/>
          <w:sz w:val="22"/>
          <w:sz w:val="22"/>
          <w:szCs w:val="22"/>
          <w:u w:val="none"/>
          <w:vertAlign w:val="baseline"/>
        </w:rPr>
      </w:pPr>
      <w:r>
        <w:rPr>
          <w:rFonts w:eastAsia="Calibri" w:cs="Calibri"/>
          <w:b w:val="false"/>
          <w:i w:val="false"/>
          <w:caps w:val="false"/>
          <w:smallCaps w:val="false"/>
          <w:strike w:val="false"/>
          <w:dstrike w:val="false"/>
          <w:color w:val="FF0000"/>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0"/>
          <w:position w:val="0"/>
          <w:sz w:val="22"/>
          <w:sz w:val="22"/>
          <w:szCs w:val="22"/>
          <w:u w:val="single"/>
          <w:vertAlign w:val="baseline"/>
        </w:rPr>
      </w:pPr>
      <w:r>
        <w:rPr>
          <w:rFonts w:eastAsia="Calibri" w:cs="Calibri"/>
          <w:b/>
          <w:i w:val="false"/>
          <w:caps w:val="false"/>
          <w:smallCaps w:val="false"/>
          <w:strike w:val="false"/>
          <w:dstrike w:val="false"/>
          <w:color w:val="000000"/>
          <w:position w:val="0"/>
          <w:sz w:val="22"/>
          <w:sz w:val="22"/>
          <w:szCs w:val="22"/>
          <w:u w:val="single"/>
          <w:shd w:fill="auto" w:val="clear"/>
          <w:vertAlign w:val="baseline"/>
        </w:rPr>
        <w:t xml:space="preserve">7. PLAN DE SEGUIMIENTO PERSONAL PARA EL ALUMNADO QUE NO PROMOCIONA </w:t>
      </w:r>
    </w:p>
    <w:p>
      <w:pPr>
        <w:pStyle w:val="Normal1"/>
        <w:keepNext w:val="false"/>
        <w:keepLines w:val="false"/>
        <w:pageBreakBefore w:val="false"/>
        <w:widowControl/>
        <w:pBdr/>
        <w:shd w:val="clear" w:fill="auto"/>
        <w:spacing w:lineRule="auto" w:line="276" w:before="0" w:after="200"/>
        <w:ind w:left="0" w:right="0" w:firstLine="283"/>
        <w:jc w:val="both"/>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El profesor/a de la materia prestará especial atención a los alumnos que, habiendo repetido curso, no hubiesen superado la materia de Física y Química en el año anterior. Como punto de inicio se partirá del informe que el profesor del curso anterior hubiese emitido sobre el alumno/a.. Se prepararán actividades de refuerzo para aquellos contenidos en los que el alumno hubiese mostrado más dificultad. Estas actividades se realizarán en el momento del curso en que se traten dichos contenidos, siempre que el interés, la actitud y el compromiso del alumno/a por la materia sean adecuados. Asimismo, se animará a estos alumnos a que manifiesten en qué puntos concretos encuentran una mayor dificultad, poniéndose el profesor/a de la materia a disposición de los alumnos para resolver todas aquellas dudas que les pudiesen surgir. Además, si se considera necesario, se podrá plantear adaptaciones curriculares no significativas.</w:t>
      </w:r>
    </w:p>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 xml:space="preserve">8. PLAN DE RECUPERACIÓN DE MATERIAS PENDIENTES </w:t>
      </w:r>
    </w:p>
    <w:p>
      <w:pPr>
        <w:pStyle w:val="Normal1"/>
        <w:keepNext w:val="false"/>
        <w:keepLines w:val="false"/>
        <w:pageBreakBefore w:val="false"/>
        <w:widowControl/>
        <w:pBdr/>
        <w:shd w:val="clear" w:fill="auto"/>
        <w:spacing w:lineRule="auto" w:line="276" w:before="0" w:after="200"/>
        <w:ind w:left="0" w:right="0" w:firstLine="283"/>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Dado que esta programación sólo hace referencia al curso de segundo de educación secundaria obligatorio y es la primera vez que los alumnos cursan esta asignatura, no existe en este curso alumnado con la materia pendiente del curso anterior.</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9. ESTRATEGIAS DIDÁCTICAS Y METODOLÓGICAS.</w:t>
      </w:r>
    </w:p>
    <w:p>
      <w:pPr>
        <w:pStyle w:val="Normal1"/>
        <w:keepNext w:val="false"/>
        <w:keepLines w:val="false"/>
        <w:pageBreakBefore w:val="false"/>
        <w:widowControl/>
        <w:pBdr/>
        <w:shd w:val="clear" w:fill="auto"/>
        <w:tabs>
          <w:tab w:val="clear" w:pos="720"/>
          <w:tab w:val="left" w:pos="284" w:leader="none"/>
        </w:tabs>
        <w:spacing w:lineRule="auto" w:line="276" w:before="0" w:after="200"/>
        <w:ind w:left="0" w:right="0" w:firstLine="283"/>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La materia de Física y Química tiene como finalidad dotar a los alumnos de una cultura científica básica y capacidad para conocer el mundo que nos rodea y sus fenómenos, preparándose como futuros ciudadanos de una sociedad estrechamente ligada a la ciencia y a sus avances.</w:t>
      </w:r>
    </w:p>
    <w:p>
      <w:pPr>
        <w:pStyle w:val="Normal1"/>
        <w:keepNext w:val="false"/>
        <w:keepLines w:val="false"/>
        <w:pageBreakBefore w:val="false"/>
        <w:widowControl/>
        <w:pBdr/>
        <w:shd w:val="clear" w:fill="auto"/>
        <w:spacing w:lineRule="auto" w:line="276" w:before="0" w:after="200"/>
        <w:ind w:left="0" w:right="0" w:firstLine="283"/>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Los alumnos/as de 2º de ESO de Física y Química están habituados a recibir multitud de estímulos diariamente de forma muy atractiva y visual, por tanto, resulta fundamental intentar motivar y captar la atención del alumnado a través de la metodología que se desarrolle en el aula. En este sentido, las estrategias principales que se llevarán a cabo en la materia de Física y Química son las siguientes: </w:t>
      </w:r>
    </w:p>
    <w:p>
      <w:pPr>
        <w:pStyle w:val="Normal1"/>
        <w:keepNext w:val="false"/>
        <w:keepLines w:val="false"/>
        <w:pageBreakBefore w:val="false"/>
        <w:widowControl/>
        <w:numPr>
          <w:ilvl w:val="0"/>
          <w:numId w:val="9"/>
        </w:numPr>
        <w:pBdr/>
        <w:shd w:val="clear" w:fill="auto"/>
        <w:spacing w:lineRule="auto" w:line="276" w:before="0" w:after="20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shd w:fill="auto" w:val="clear"/>
          <w:vertAlign w:val="baseline"/>
        </w:rPr>
        <w:t>Entornos digitales</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los alumnos/as están familiarizados con diferentes soportes digitales, a través de los cuáles, se comunican y reciben información con mucha frecuencia. Por esta razón, en las clases de Física y Química se utilizarán simulaciones por ordenador de procesos físicos, vídeos de Youtube con contenido científico, del mismo modo que se hará uso de herramientas digitales para recursos y cuestionarios (Aramoodle, Kahoot, Google Classroom, etc). Al utilizar estos elementos digitales el alumno/a se siente más cómodo ya que es un contexto que le resulta familiar, y a la vez hace posible que su motivación aumente.  </w:t>
      </w:r>
    </w:p>
    <w:p>
      <w:pPr>
        <w:pStyle w:val="Normal1"/>
        <w:keepNext w:val="false"/>
        <w:keepLines w:val="false"/>
        <w:pageBreakBefore w:val="false"/>
        <w:widowControl/>
        <w:numPr>
          <w:ilvl w:val="0"/>
          <w:numId w:val="9"/>
        </w:numPr>
        <w:pBdr/>
        <w:shd w:val="clear" w:fill="auto"/>
        <w:spacing w:lineRule="auto" w:line="276" w:before="0" w:after="20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shd w:fill="auto" w:val="clear"/>
          <w:vertAlign w:val="baseline"/>
        </w:rPr>
        <w:t>Actividades variadas</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para evitar una pérdida de atención por parte del alumnado durante las clases, se considera conveniente realizar diferentes actividades a lo largo de cualquier sesión de forma que la sesión de Física y Química sea variada y no absolutamente previsible para el alumnado.  </w:t>
      </w:r>
    </w:p>
    <w:p>
      <w:pPr>
        <w:pStyle w:val="Normal1"/>
        <w:keepNext w:val="false"/>
        <w:keepLines w:val="false"/>
        <w:pageBreakBefore w:val="false"/>
        <w:widowControl/>
        <w:numPr>
          <w:ilvl w:val="0"/>
          <w:numId w:val="9"/>
        </w:numPr>
        <w:pBdr/>
        <w:shd w:val="clear" w:fill="auto"/>
        <w:spacing w:lineRule="auto" w:line="276" w:before="0" w:after="200"/>
        <w:ind w:left="720" w:right="0" w:hanging="36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shd w:fill="auto" w:val="clear"/>
          <w:vertAlign w:val="baseline"/>
        </w:rPr>
        <w:t>Actividades contextualizadas</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siempre que se exponga cualquier contenido de la materia o se realicen actividades en el aula, se elegirán ejemplos propios de la vida cotidiana de los alumnos/as, de cara a facilitar la comprensión de nuevos conceptos a partir de las experiencias que ya tienen y de lo que ya saben. </w:t>
      </w:r>
    </w:p>
    <w:p>
      <w:pPr>
        <w:pStyle w:val="Normal1"/>
        <w:keepNext w:val="false"/>
        <w:keepLines w:val="false"/>
        <w:pageBreakBefore w:val="false"/>
        <w:widowControl/>
        <w:numPr>
          <w:ilvl w:val="0"/>
          <w:numId w:val="9"/>
        </w:numPr>
        <w:pBdr/>
        <w:shd w:val="clear" w:fill="auto"/>
        <w:tabs>
          <w:tab w:val="clear" w:pos="720"/>
          <w:tab w:val="left" w:pos="284" w:leader="none"/>
        </w:tabs>
        <w:spacing w:lineRule="auto" w:line="276" w:before="0" w:after="200"/>
        <w:ind w:left="709" w:right="0" w:hanging="425"/>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shd w:fill="auto" w:val="clear"/>
          <w:vertAlign w:val="baseline"/>
        </w:rPr>
        <w:t>Buen clima de clase</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consiste en que los alumnos/as comprendan que la labor del docente es que adquieran una serie de contenidos que vienen establecidos por la legislación y que se formen como personas capaces de insertarse en un futuro en la sociedad. Esto hará posible un clima de clase más agradable, de forma que el rendimiento académico de los alumnos/as será mayor. </w:t>
      </w:r>
    </w:p>
    <w:p>
      <w:pPr>
        <w:pStyle w:val="Normal1"/>
        <w:keepNext w:val="false"/>
        <w:keepLines w:val="false"/>
        <w:pageBreakBefore w:val="false"/>
        <w:widowControl/>
        <w:numPr>
          <w:ilvl w:val="0"/>
          <w:numId w:val="9"/>
        </w:numPr>
        <w:pBdr/>
        <w:shd w:val="clear" w:fill="auto"/>
        <w:tabs>
          <w:tab w:val="clear" w:pos="720"/>
          <w:tab w:val="left" w:pos="284" w:leader="none"/>
        </w:tabs>
        <w:spacing w:lineRule="auto" w:line="276" w:before="0" w:after="200"/>
        <w:ind w:left="709" w:right="0" w:hanging="425"/>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shd w:fill="auto" w:val="clear"/>
          <w:vertAlign w:val="baseline"/>
        </w:rPr>
        <w:t>Laboratorio de Física y química</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durante la Educación Secundaria Obligatoria, se considera fundamental que el alumnado adquiera unas bases procedimentales  respecto al trabajo en el laboratorio, ya que esas bases afianzarán lo trabajado en el aula y permitirán que el alumno/a comprenda como se genera el conocimiento científico y como se trabaja en un laboratorio de ciencias. </w:t>
      </w:r>
    </w:p>
    <w:p>
      <w:pPr>
        <w:pStyle w:val="Normal1"/>
        <w:keepNext w:val="false"/>
        <w:keepLines w:val="false"/>
        <w:pageBreakBefore w:val="false"/>
        <w:widowControl w:val="false"/>
        <w:pBdr/>
        <w:shd w:val="clear" w:fill="auto"/>
        <w:tabs>
          <w:tab w:val="clear" w:pos="720"/>
          <w:tab w:val="left" w:pos="0" w:leader="none"/>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s>
        <w:spacing w:lineRule="auto" w:line="240" w:before="240" w:after="0"/>
        <w:ind w:left="0" w:right="0" w:hanging="0"/>
        <w:jc w:val="both"/>
        <w:rPr>
          <w:rFonts w:ascii="Cambria" w:hAnsi="Cambria" w:eastAsia="Cambria" w:cs="Cambria"/>
          <w:b/>
          <w:b/>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shd w:fill="auto" w:val="clear"/>
          <w:vertAlign w:val="baseline"/>
        </w:rPr>
        <w:t>Gestión de espacios</w:t>
      </w:r>
    </w:p>
    <w:p>
      <w:pPr>
        <w:pStyle w:val="Normal1"/>
        <w:keepNext w:val="false"/>
        <w:keepLines w:val="false"/>
        <w:pageBreakBefore w:val="false"/>
        <w:widowControl w:val="false"/>
        <w:pBdr/>
        <w:shd w:val="clear" w:fill="auto"/>
        <w:tabs>
          <w:tab w:val="clear" w:pos="720"/>
          <w:tab w:val="left" w:pos="0" w:leader="none"/>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s>
        <w:spacing w:lineRule="auto" w:line="240" w:before="240" w:after="0"/>
        <w:ind w:left="0" w:right="0" w:hanging="0"/>
        <w:jc w:val="both"/>
        <w:rPr>
          <w:rFonts w:ascii="Cambria" w:hAnsi="Cambria" w:eastAsia="Cambria" w:cs="Cambria"/>
          <w:b w:val="false"/>
          <w:b w:val="false"/>
          <w:i w:val="false"/>
          <w:i w:val="false"/>
          <w:caps w:val="false"/>
          <w:smallCaps w:val="false"/>
          <w:strike w:val="false"/>
          <w:dstrike w:val="false"/>
          <w:color w:val="93C47D"/>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Normalmente el trabajo se realiza en el aula, pero en ocasiones se utilizan otros espacios del centro como el laboratorio. </w:t>
      </w:r>
    </w:p>
    <w:p>
      <w:pPr>
        <w:pStyle w:val="Normal1"/>
        <w:keepNext w:val="false"/>
        <w:keepLines w:val="false"/>
        <w:pageBreakBefore w:val="false"/>
        <w:widowControl w:val="false"/>
        <w:pBdr/>
        <w:shd w:val="clear" w:fill="auto"/>
        <w:tabs>
          <w:tab w:val="clear" w:pos="720"/>
          <w:tab w:val="left" w:pos="0" w:leader="none"/>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s>
        <w:spacing w:lineRule="auto" w:line="240" w:before="240" w:after="0"/>
        <w:ind w:left="0" w:right="0" w:hanging="0"/>
        <w:jc w:val="both"/>
        <w:rPr>
          <w:rFonts w:ascii="Cambria" w:hAnsi="Cambria" w:eastAsia="Cambria" w:cs="Cambria"/>
          <w:b/>
          <w:b/>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shd w:fill="auto" w:val="clear"/>
          <w:vertAlign w:val="baseline"/>
        </w:rPr>
        <w:t>Materiales y recursos didácticos a utilizar</w:t>
      </w:r>
    </w:p>
    <w:p>
      <w:pPr>
        <w:pStyle w:val="Normal1"/>
        <w:keepNext w:val="false"/>
        <w:keepLines w:val="false"/>
        <w:pageBreakBefore w:val="false"/>
        <w:widowControl w:val="false"/>
        <w:pBdr/>
        <w:shd w:val="clear" w:fill="auto"/>
        <w:spacing w:lineRule="auto" w:line="240" w:before="0" w:after="0"/>
        <w:ind w:left="0" w:right="0" w:hanging="0"/>
        <w:jc w:val="both"/>
        <w:rPr>
          <w:rFonts w:ascii="Calibri" w:hAnsi="Calibri" w:eastAsia="Calibri" w:cs="Calibri"/>
          <w:b/>
          <w:b/>
          <w:i w:val="false"/>
          <w:i w:val="false"/>
          <w:caps w:val="false"/>
          <w:smallCaps w:val="false"/>
          <w:strike w:val="false"/>
          <w:dstrike w:val="false"/>
          <w:color w:val="000000"/>
          <w:position w:val="0"/>
          <w:sz w:val="22"/>
          <w:sz w:val="22"/>
          <w:szCs w:val="22"/>
          <w:u w:val="none"/>
          <w:vertAlign w:val="baseline"/>
        </w:rPr>
      </w:pPr>
      <w:r>
        <w:rPr>
          <w:rFonts w:eastAsia="Calibri" w:cs="Calibri"/>
          <w:b/>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Libro de texto: FÍSICA Y QUÍMICA 2º ESO APLICAMOS CONSTRUYENDO MUNDOS D23.  SANTILLANA - 9788414424773</w:t>
      </w:r>
    </w:p>
    <w:p>
      <w:pPr>
        <w:pStyle w:val="Normal1"/>
        <w:keepNext w:val="false"/>
        <w:keepLines w:val="false"/>
        <w:pageBreakBefore w:val="false"/>
        <w:widowControl w:val="false"/>
        <w:pBdr/>
        <w:shd w:val="clear" w:fill="auto"/>
        <w:tabs>
          <w:tab w:val="clear" w:pos="720"/>
          <w:tab w:val="left" w:pos="1050" w:leader="none"/>
        </w:tabs>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0" w:right="0" w:hanging="0"/>
        <w:jc w:val="both"/>
        <w:rPr>
          <w:rFonts w:ascii="Cambria" w:hAnsi="Cambria" w:eastAsia="Cambria" w:cs="Cambria"/>
          <w:b w:val="false"/>
          <w:b w:val="false"/>
          <w:i w:val="false"/>
          <w:i w:val="false"/>
          <w:caps w:val="false"/>
          <w:smallCaps w:val="false"/>
          <w:strike w:val="false"/>
          <w:dstrike w:val="false"/>
          <w:color w:val="93C47D"/>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Otros recursos: páginas web con información científica, actividades seleccionadas y preparadas por el profesor y plataformas digitales como kahoot. </w:t>
      </w:r>
      <w:r>
        <w:rPr>
          <w:rFonts w:eastAsia="Calibri" w:cs="Calibri"/>
          <w:b w:val="false"/>
          <w:i w:val="false"/>
          <w:caps w:val="false"/>
          <w:smallCaps w:val="false"/>
          <w:strike w:val="false"/>
          <w:dstrike w:val="false"/>
          <w:color w:val="93C47D"/>
          <w:position w:val="0"/>
          <w:sz w:val="22"/>
          <w:sz w:val="22"/>
          <w:szCs w:val="22"/>
          <w:u w:val="none"/>
          <w:shd w:fill="auto" w:val="clear"/>
          <w:vertAlign w:val="baseline"/>
        </w:rPr>
        <w:t xml:space="preserve"> </w:t>
      </w:r>
    </w:p>
    <w:p>
      <w:pPr>
        <w:pStyle w:val="Normal1"/>
        <w:keepNext w:val="false"/>
        <w:keepLines w:val="false"/>
        <w:pageBreakBefore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93C47D"/>
          <w:position w:val="0"/>
          <w:sz w:val="22"/>
          <w:sz w:val="22"/>
          <w:szCs w:val="22"/>
          <w:u w:val="none"/>
          <w:vertAlign w:val="baseline"/>
        </w:rPr>
      </w:pPr>
      <w:r>
        <w:rPr>
          <w:rFonts w:eastAsia="Calibri" w:cs="Calibri"/>
          <w:b w:val="false"/>
          <w:i w:val="false"/>
          <w:caps w:val="false"/>
          <w:smallCaps w:val="false"/>
          <w:strike w:val="false"/>
          <w:dstrike w:val="false"/>
          <w:color w:val="93C47D"/>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0"/>
          <w:position w:val="0"/>
          <w:sz w:val="22"/>
          <w:sz w:val="22"/>
          <w:szCs w:val="22"/>
          <w:u w:val="single"/>
          <w:shd w:fill="auto" w:val="clear"/>
          <w:vertAlign w:val="baseline"/>
        </w:rPr>
        <w:t>10. CONCRECIÓN  DEL PLAN LECTOR</w:t>
      </w:r>
    </w:p>
    <w:p>
      <w:pPr>
        <w:pStyle w:val="Normal1"/>
        <w:keepNext w:val="false"/>
        <w:keepLines w:val="false"/>
        <w:pageBreakBefore w:val="false"/>
        <w:widowControl/>
        <w:pBdr/>
        <w:shd w:val="clear" w:fill="auto"/>
        <w:tabs>
          <w:tab w:val="clear" w:pos="720"/>
          <w:tab w:val="left" w:pos="284" w:leader="none"/>
        </w:tabs>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xml:space="preserve">Dado que es fundamental la competencia en comunicación lingüística en la formación del alumnado, en el Plan Lector específico de la materia de Física y Química en 2º de ESO se llevarán a cabo las siguientes medidas: </w:t>
      </w:r>
    </w:p>
    <w:p>
      <w:pPr>
        <w:pStyle w:val="Normal1"/>
        <w:keepNext w:val="false"/>
        <w:keepLines w:val="false"/>
        <w:pageBreakBefore w:val="false"/>
        <w:widowControl/>
        <w:numPr>
          <w:ilvl w:val="0"/>
          <w:numId w:val="4"/>
        </w:numPr>
        <w:pBdr/>
        <w:shd w:val="clear" w:fill="auto"/>
        <w:tabs>
          <w:tab w:val="clear" w:pos="720"/>
          <w:tab w:val="left" w:pos="284" w:leader="none"/>
        </w:tabs>
        <w:spacing w:lineRule="auto" w:line="276" w:before="0" w:after="200"/>
        <w:ind w:left="1004" w:right="0" w:hanging="36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Lectura de textos relacionados con el conocimiento científico y las relaciones entre ciencia, tecnología y sociedad. Se trabajará con  lecturas del libro de texto, basados en noticias de actualidad y relacionados con aspectos de la vida cotidiana del alumnado. Posteriormente se realizarán actividades de comprensión, así como el planteamiento de determinados debates y preguntas orales relacionadas con el tema. Algunos ejemplos de los textos trabajados son: en la UD1. “Los sistemas de nebulización” o en la UD4. “El descubrimiento de una enzima capaz de biodegradar el plástico en un día”.</w:t>
      </w:r>
    </w:p>
    <w:p>
      <w:pPr>
        <w:pStyle w:val="Normal1"/>
        <w:keepNext w:val="false"/>
        <w:keepLines w:val="false"/>
        <w:pageBreakBefore w:val="false"/>
        <w:widowControl/>
        <w:numPr>
          <w:ilvl w:val="0"/>
          <w:numId w:val="4"/>
        </w:numPr>
        <w:pBdr/>
        <w:shd w:val="clear" w:fill="auto"/>
        <w:tabs>
          <w:tab w:val="clear" w:pos="720"/>
          <w:tab w:val="left" w:pos="284" w:leader="none"/>
        </w:tabs>
        <w:spacing w:lineRule="auto" w:line="276" w:before="0" w:after="200"/>
        <w:ind w:left="1004" w:right="0" w:hanging="36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Si se considera necesario el docente proporcionará otros textos científicos externos al libro relacionados con los contenidos trabajados en la unidad didáctica.</w:t>
      </w:r>
    </w:p>
    <w:p>
      <w:pPr>
        <w:pStyle w:val="Normal1"/>
        <w:keepNext w:val="false"/>
        <w:keepLines w:val="false"/>
        <w:pageBreakBefore w:val="false"/>
        <w:widowControl/>
        <w:pBdr/>
        <w:shd w:val="clear" w:fill="auto"/>
        <w:tabs>
          <w:tab w:val="clear" w:pos="720"/>
          <w:tab w:val="left" w:pos="284" w:leader="none"/>
        </w:tabs>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La presentación de los trabajos tanto escritos como orales se realizará siguiendo las pautas y recomendaciones recogidas en el Proyecto Lingüístico del centro.</w:t>
      </w:r>
    </w:p>
    <w:p>
      <w:pPr>
        <w:pStyle w:val="Normal1"/>
        <w:keepNext w:val="false"/>
        <w:keepLines w:val="false"/>
        <w:pageBreakBefore w:val="false"/>
        <w:widowControl/>
        <w:pBdr/>
        <w:shd w:val="clear" w:fill="auto"/>
        <w:tabs>
          <w:tab w:val="clear" w:pos="720"/>
          <w:tab w:val="left" w:pos="284" w:leader="none"/>
        </w:tabs>
        <w:spacing w:lineRule="auto" w:line="276" w:before="0" w:after="20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11. CONCRECIÓN DEL PLAN DE IMPLEMENTACIÓN DE ELEMENTOS TRANSVERSALES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De acuerdo con la orden ECD/1172/2022, los elementos transversales que deberán trabajarse serán:</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La comprensión lectora y expresión oral y escrita se especificará en el punto 10, concreción del plan lector.</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La comunicación audiovisual y la competencia digital se especificará en el punto 12, la concreción del plan de utilización de las tecnologías digitales.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El emprendimiento social y empresarial se desarrollará mediante actividades que potencien el aprendizaje significativo del alumnado y haciendo que el alumnado sea el centro del aprendizaje.</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El fomento del espíritu crítico y científico y la creatividad se desarrollarán a través de situaciones de aprendizaje en el que el alumnado tiene que dar su propia opinión basada en los conceptos estudiados y el desarrollo de actividades de laboratorio.</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La educación emocional y en valores, la igualdad de género, el respeto mutuo y la cooperación entre iguales se trabajarán mediante la mediación de los diferentes conflictos que puedan surgir en clase, respetando las diferentes opiniones, al igual que en el trabajo en equipo.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La educación para la salud, la formación estética, la educación para la sostenibilidad y el consumo responsable se emplearán durante las diferentes unidades didácticas ejemplos relacionados con la vida cotidiana del alumnado, basados en estos elementos transversales e incluyendo las ODS.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12. CONCRECIÓN DEL PLAN DE UTILIZACIÓN DE LAS TECNOLOGÍAS DIGITALES</w:t>
      </w: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xml:space="preserve"> </w:t>
      </w:r>
    </w:p>
    <w:p>
      <w:pPr>
        <w:pStyle w:val="Normal1"/>
        <w:keepNext w:val="false"/>
        <w:keepLines w:val="false"/>
        <w:pageBreakBefore w:val="false"/>
        <w:widowControl/>
        <w:pBdr/>
        <w:shd w:val="clear" w:fill="auto"/>
        <w:spacing w:lineRule="auto" w:line="288" w:before="0" w:after="200"/>
        <w:ind w:left="0" w:right="0" w:hanging="0"/>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 xml:space="preserve">El Plan de utilización de las Tecnologías digitales contenido en el Proyecto Curricular de Etapa del centro establece que la finalidad debe ser hacer de las TIC una herramienta de uso habitual que permita mejorar los procesos de enseñanza-aprendizaje del alumnado. En este sentido, en la materia de Física y química de 2º de ESO se aplicarán las siguientes medidas: </w:t>
      </w:r>
    </w:p>
    <w:p>
      <w:pPr>
        <w:pStyle w:val="Normal1"/>
        <w:keepNext w:val="false"/>
        <w:keepLines w:val="false"/>
        <w:pageBreakBefore w:val="false"/>
        <w:widowControl/>
        <w:numPr>
          <w:ilvl w:val="0"/>
          <w:numId w:val="5"/>
        </w:numPr>
        <w:pBdr/>
        <w:shd w:val="clear" w:fill="auto"/>
        <w:spacing w:lineRule="auto" w:line="240" w:before="0" w:after="0"/>
        <w:ind w:left="567" w:right="0" w:hanging="283"/>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Potenciar el uso de las TIC como herramienta educativa, medio de apoyo y refuerzo en el aprendizaje del alumnado.</w:t>
      </w:r>
    </w:p>
    <w:p>
      <w:pPr>
        <w:pStyle w:val="Normal1"/>
        <w:keepNext w:val="false"/>
        <w:keepLines w:val="false"/>
        <w:pageBreakBefore w:val="false"/>
        <w:widowControl/>
        <w:numPr>
          <w:ilvl w:val="0"/>
          <w:numId w:val="5"/>
        </w:numPr>
        <w:pBdr/>
        <w:shd w:val="clear" w:fill="auto"/>
        <w:spacing w:lineRule="auto" w:line="240" w:before="0" w:after="0"/>
        <w:ind w:left="567" w:right="0" w:hanging="283"/>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Utilizar las TIC como fuente de información, favoreciendo en el alumnado el espíritu crítico en la búsqueda y tratamiento de la información obtenida en Internet.</w:t>
      </w:r>
    </w:p>
    <w:p>
      <w:pPr>
        <w:pStyle w:val="Normal1"/>
        <w:keepNext w:val="false"/>
        <w:keepLines w:val="false"/>
        <w:pageBreakBefore w:val="false"/>
        <w:widowControl/>
        <w:numPr>
          <w:ilvl w:val="0"/>
          <w:numId w:val="5"/>
        </w:numPr>
        <w:pBdr/>
        <w:shd w:val="clear" w:fill="auto"/>
        <w:spacing w:lineRule="auto" w:line="240" w:before="0" w:after="0"/>
        <w:ind w:left="567" w:right="0" w:hanging="283"/>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Potenciar entre el alumnado el uso del ordenador como medio de investigación para ampliar conocimientos y elaborar trabajos.</w:t>
      </w:r>
    </w:p>
    <w:p>
      <w:pPr>
        <w:pStyle w:val="Normal1"/>
        <w:keepNext w:val="false"/>
        <w:keepLines w:val="false"/>
        <w:pageBreakBefore w:val="false"/>
        <w:widowControl/>
        <w:numPr>
          <w:ilvl w:val="0"/>
          <w:numId w:val="5"/>
        </w:numPr>
        <w:pBdr/>
        <w:shd w:val="clear" w:fill="auto"/>
        <w:spacing w:lineRule="auto" w:line="240" w:before="0" w:after="0"/>
        <w:ind w:left="567" w:right="0" w:hanging="283"/>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Disponibilidad de un ordenador y una pizarra digital o pantalla en las aulas de grupo.</w:t>
      </w:r>
    </w:p>
    <w:p>
      <w:pPr>
        <w:pStyle w:val="Normal1"/>
        <w:keepNext w:val="false"/>
        <w:keepLines w:val="false"/>
        <w:pageBreakBefore w:val="false"/>
        <w:widowControl/>
        <w:numPr>
          <w:ilvl w:val="0"/>
          <w:numId w:val="5"/>
        </w:numPr>
        <w:pBdr/>
        <w:shd w:val="clear" w:fill="auto"/>
        <w:spacing w:lineRule="auto" w:line="240" w:before="0" w:after="0"/>
        <w:ind w:left="567" w:right="0" w:hanging="283"/>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Disponibilidad de aulas específicas de informática, dotadas con ordenadores suficientes.</w:t>
      </w:r>
    </w:p>
    <w:p>
      <w:pPr>
        <w:pStyle w:val="Normal1"/>
        <w:keepNext w:val="false"/>
        <w:keepLines w:val="false"/>
        <w:pageBreakBefore w:val="false"/>
        <w:widowControl/>
        <w:numPr>
          <w:ilvl w:val="0"/>
          <w:numId w:val="5"/>
        </w:numPr>
        <w:pBdr/>
        <w:shd w:val="clear" w:fill="auto"/>
        <w:spacing w:lineRule="auto" w:line="240" w:before="0" w:after="0"/>
        <w:ind w:left="567" w:right="0" w:hanging="283"/>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Creación, selección y organización de materiales curriculares o de software educativo.</w:t>
      </w:r>
    </w:p>
    <w:p>
      <w:pPr>
        <w:pStyle w:val="Normal1"/>
        <w:keepNext w:val="false"/>
        <w:keepLines w:val="false"/>
        <w:pageBreakBefore w:val="false"/>
        <w:widowControl/>
        <w:numPr>
          <w:ilvl w:val="0"/>
          <w:numId w:val="5"/>
        </w:numPr>
        <w:pBdr/>
        <w:shd w:val="clear" w:fill="auto"/>
        <w:spacing w:lineRule="auto" w:line="240" w:before="0" w:after="0"/>
        <w:ind w:left="567" w:right="0" w:hanging="283"/>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Uso del correo electrónico corporativo o de plataformas virtuales de aprendizaje para las comunicaciones entre el profesorado, con el alumnado y el resto de la comunidad educativa.</w:t>
      </w:r>
    </w:p>
    <w:p>
      <w:pPr>
        <w:pStyle w:val="Normal1"/>
        <w:keepNext w:val="false"/>
        <w:keepLines w:val="false"/>
        <w:pageBreakBefore w:val="false"/>
        <w:widowControl/>
        <w:numPr>
          <w:ilvl w:val="0"/>
          <w:numId w:val="5"/>
        </w:numPr>
        <w:pBdr/>
        <w:shd w:val="clear" w:fill="auto"/>
        <w:spacing w:lineRule="auto" w:line="276" w:before="0" w:after="200"/>
        <w:ind w:left="567" w:right="0" w:hanging="283"/>
        <w:jc w:val="both"/>
        <w:rPr>
          <w:rFonts w:ascii="Cambria" w:hAnsi="Cambria" w:eastAsia="Cambria" w:cs="Cambria"/>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t>Elaboración de trabajos, informes, dibujos, gráficas, presentaciones, exposiciones relacionadas con distintas materias y que supongan el uso de distintos programas informáticos.</w:t>
      </w:r>
    </w:p>
    <w:p>
      <w:pPr>
        <w:pStyle w:val="Normal1"/>
        <w:keepNext w:val="false"/>
        <w:keepLines w:val="false"/>
        <w:pageBreakBefore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93C47D"/>
          <w:position w:val="0"/>
          <w:sz w:val="22"/>
          <w:sz w:val="22"/>
          <w:szCs w:val="22"/>
          <w:u w:val="none"/>
          <w:vertAlign w:val="baseline"/>
        </w:rPr>
      </w:pPr>
      <w:r>
        <w:rPr>
          <w:rFonts w:eastAsia="Calibri" w:cs="Calibri"/>
          <w:b w:val="false"/>
          <w:i w:val="false"/>
          <w:caps w:val="false"/>
          <w:smallCaps w:val="false"/>
          <w:strike w:val="false"/>
          <w:dstrike w:val="false"/>
          <w:color w:val="93C47D"/>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0"/>
          <w:position w:val="0"/>
          <w:sz w:val="22"/>
          <w:sz w:val="22"/>
          <w:szCs w:val="22"/>
          <w:u w:val="single"/>
          <w:vertAlign w:val="baseline"/>
        </w:rPr>
      </w:pPr>
      <w:r>
        <w:rPr>
          <w:rFonts w:eastAsia="Calibri" w:cs="Calibri"/>
          <w:b/>
          <w:i w:val="false"/>
          <w:caps w:val="false"/>
          <w:smallCaps w:val="false"/>
          <w:strike w:val="false"/>
          <w:dstrike w:val="false"/>
          <w:color w:val="000000"/>
          <w:position w:val="0"/>
          <w:sz w:val="22"/>
          <w:sz w:val="22"/>
          <w:szCs w:val="22"/>
          <w:u w:val="single"/>
          <w:shd w:fill="auto" w:val="clear"/>
          <w:vertAlign w:val="baseline"/>
        </w:rPr>
        <w:t>13. MEDIDAS COMPLEMENTARIAS QUE SE PLANTEAN PARA EL TRATAMIENTO DE LAS MATERIAS DENTRO DE ITINERARIOS BILINGÜES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La inclusión de las ciencias experimentales en los programas de enseñanza bilingüe favorece, por varios motivos, el aprendizaje de una lengua extranjera.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En primer lugar,  para dominar un idioma es importante desenvolverse en esa lengua en diversos campos del conocimiento. Sin duda uno de ellos es el científico-tecnológico, ya que en la sociedad en la que vivimos es fundamental comprender la gran cantidad de información que recibimos relacionada con el mundo de la ciencia y de la tecnología, ser capaces de extraer conclusiones a partir de esta información y expresar dichas conclusiones.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En segundo lugar, la enseñanza de un idioma no puede hacerse vacía de contenido, y tanto los conocimientos como las capacidades y las actitudes que se ponen en juego en el proceso de enseñanza y aprendizaje de las ciencias pueden activar un gran número de competencias lingüísticas.   Los proyectos bilingües no pretenden convertir a los profesores de materias no lingüísticas en segundos profesores de idiomas, los profesores de ciencias tendrán siempre como primer objetivo la enseñanza de su materia. Se trata de beneficiar el aprendizaje de las ciencias y de otras disciplinas no lingüísticas haciendo uso de dos lenguas vehiculares en el proceso de enseñanza aprendizaje. Es una relación de mutualismo entre el aprendizaje de las lenguas extranjeras y las disciplinas no lingüísticas.   Beneficios que puede suponer el aprendizaje de ciencias en una lengua extranjera: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 </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Por un lado, la apreciación de una mejora en las actitudes de los alumnos y en los hábitos de trabajo. Formar parte de un programa en el que el nivel de exigencias se supone superior, mejora la imagen que los alumnos se forman sobre ellos mismos y sobre lo que son capaces de hacer, mostrando una actitud más positiva hacia el aprendizaje. Al aumentar las expectativas sobre un grupo de alumnos mejoran sus rendimientos, los alumnos se convierten en lo que se espera de ellos (efecto Pigmalión). Esta constatación se encuentra muy relacionada con la mayor implicación observada en los padres.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Mediante la enseñanza bilingüe los alumnos adquieren conciencia de que en la segunda lengua no sólo pueden pensar y hablar, sino que también pueden actuar como lo harían en la propia, hecho que es también muy motivador.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Por otra parte, cuando los alumnos finalizan los estudios de secundaria ven ampliadas sus posibilidades de formación en relación con las ciencias. Al ser capaces de comprender y expresar mensajes científicos en una lengua extranjera, muchos proyectan cursar parte de sus estudios universitarios fuera de su país. El idioma no es para ellos un impedimento, el espíritu que han adquirido al conocer otras culturas es más abierto y cada vez son mayores las posibilidades de disfrutar de becas. Los alumnos piensan en efecto que el lugar donde van a recibir una formación o incluso donde van a trabajar no tiene porqué limitarse a la región en la que viven o a su país.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 </w:t>
      </w: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Además, la enseñanza bilingüe de las ciencias permite la introducción de contenidos que atañen a las relaciones Ciencia, Tecnología y Sociedad, tanto actuales como históricos, en otros países, enriqueciendo la visión que adquiere el alumno de muchas cuestiones.  Por último, la utilización de dos lenguas vehiculares en el proceso de enseñanza y aprendizaje de las ciencias parece favorecer la construcción de conocimientos y por tanto el aprendizaje significativo. Esto puede ser debido a la especial incidencia que se realiza sobre la interacción existente entre el lenguaje y el pensamiento. </w:t>
      </w:r>
    </w:p>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14. MECANISMOS DE REVISIÓN, EVALUACIÓN Y MODIFICACIÓN DE LAS PROGRAMACIONES DIDÁCTICAS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En primer lugar es necesario revisar la programación al principio del curso para comprobar que cumple con la legislación vigente (ya que puede ser modificada) y que está adaptada al grupo de alumnos del curso que se va a iniciar. En este momento se pueden realizar algunas modificaciones, especialmente en cuanto a las concreciones metodológicas y en relación a las Medidas de Atención a la Diversidad, con el fin de adaptar la Programación a la realidad del grupo antes de que sea incorporada a la Programación General Anual.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Durante el desarrollo del curso, el grado de cumplimiento de la programación de cada materia se valora mensualmente en una de las Reuniones de Departamento. De esta forma se pueden detectar desviaciones entre los diferentes grupos de un mismo nivel, por ejemplo.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Al menos en una ocasión durante el curso, los alumnos/as de cada grupo podrán contestar voluntariamente a unos cuestionarios online en relación al proceso enseñanza-aprendizaje, al clima de clase y a su propio esfuerzo. Las respuestas de los alumnos/as a estos cuestionarios son un elemento muy valioso como retroalimentación de lo planteado en esta Programación (actividades, metodología, secuenciación, evaluación, etc.) y de la labor docente. El análisis de estas respuestas puede servir para corregir errores sistemáticos, para incorporar mejoras propuestas por los alumnos/as y, en definitiva, para optimizar la Programación Didáctica y el proceso enseñanza-aprendizaje.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Por otra parte, se realizará una evaluación de los resultados académicos obtenidos por los diferentes grupos de alumnos/as en la materia en este curso, comparándolos con los obtenidos en años anteriores y con la media de la comunidad autónoma de Aragón para cada nivel. Como consecuencia de dicho análisis se establecerán una serie de medidas destinadas a la mejora de dichos resultados que aparecerán recogidas en la Memoria del Departamento.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 xml:space="preserve">Finalmente, se procederá a revisar la programación una vez que el curso haya terminado para la elaboración de la Memoria del Departamento. En este punto y a la vista del grado de cumplimiento global de la programación, de los resultados académicos del grupo, de las evaluaciones de los alumnos se puede hacer una valoración más nítida y precisa del proceso enseñanza-aprendizaje. Es en ese momento cuando se pueden proponer modificaciones de la programación como respuesta a desajustes o a propuestas de alumnos/as o de otros docentes del departamento. No obstante, cualquier modificación significativa deberá tener una justificación que la considere necesaria. </w:t>
      </w:r>
    </w:p>
    <w:p>
      <w:pPr>
        <w:pStyle w:val="Normal1"/>
        <w:keepNext w:val="false"/>
        <w:keepLines w:val="false"/>
        <w:pageBreakBefore w:val="false"/>
        <w:widowControl/>
        <w:pBdr/>
        <w:shd w:val="clear" w:fill="auto"/>
        <w:spacing w:lineRule="auto" w:line="276" w:before="0" w:after="20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15. ACTIVIDADES COMPLEMENTARIAS Y EXTRAESCOLARES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val="false"/>
          <w:b w:val="false"/>
          <w:i w:val="false"/>
          <w:i w:val="false"/>
          <w:caps w:val="false"/>
          <w:smallCaps w:val="false"/>
          <w:strike w:val="false"/>
          <w:dstrike w:val="false"/>
          <w:color w:val="000000"/>
          <w:position w:val="0"/>
          <w:sz w:val="22"/>
          <w:sz w:val="22"/>
          <w:szCs w:val="22"/>
          <w:u w:val="none"/>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t>Desde el departamento no se han planteado actividades extraescolares para el curso de segundo de educación secundaria obligatoria.</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smallCaps/>
          <w:strike w:val="false"/>
          <w:dstrike w:val="false"/>
          <w:color w:val="00000A"/>
          <w:position w:val="0"/>
          <w:sz w:val="22"/>
          <w:sz w:val="22"/>
          <w:szCs w:val="22"/>
          <w:u w:val="single"/>
          <w:vertAlign w:val="baseline"/>
        </w:rPr>
      </w:pPr>
      <w:r>
        <w:rPr>
          <w:rFonts w:eastAsia="Calibri" w:cs="Calibri"/>
          <w:b/>
          <w:i w:val="false"/>
          <w:smallCaps/>
          <w:strike w:val="false"/>
          <w:dstrike w:val="false"/>
          <w:color w:val="00000A"/>
          <w:position w:val="0"/>
          <w:sz w:val="22"/>
          <w:sz w:val="22"/>
          <w:szCs w:val="22"/>
          <w:u w:val="single"/>
          <w:shd w:fill="auto" w:val="clear"/>
          <w:vertAlign w:val="baseline"/>
        </w:rPr>
        <w:t>16. FORMA EN LA QUE SE DAN A CONOCER LOS ASPECTOS RELEVANTES DE ESTA PROGRAMACIÓN AL ALUMNADO Y LAS FAMILIAS</w:t>
      </w:r>
    </w:p>
    <w:p>
      <w:pPr>
        <w:pStyle w:val="Normal1"/>
        <w:tabs>
          <w:tab w:val="clear" w:pos="720"/>
          <w:tab w:val="left" w:pos="284" w:leader="none"/>
        </w:tabs>
        <w:ind w:firstLine="284"/>
        <w:jc w:val="both"/>
        <w:rPr>
          <w:rFonts w:ascii="Arial" w:hAnsi="Arial" w:eastAsia="Arial" w:cs="Arial"/>
          <w:sz w:val="20"/>
          <w:szCs w:val="20"/>
        </w:rPr>
      </w:pPr>
      <w:r>
        <w:rPr>
          <w:color w:val="000000"/>
        </w:rPr>
        <w:t xml:space="preserve">Con el fin de que todos los alumnos/as y sus familias conozcan lo que se les exige para superar la materia de Física y Química en 3º de ESO, se realizarán las siguientes acciones: </w:t>
      </w:r>
    </w:p>
    <w:p>
      <w:pPr>
        <w:pStyle w:val="Normal1"/>
        <w:numPr>
          <w:ilvl w:val="0"/>
          <w:numId w:val="3"/>
        </w:numPr>
        <w:tabs>
          <w:tab w:val="clear" w:pos="720"/>
          <w:tab w:val="left" w:pos="284" w:leader="none"/>
        </w:tabs>
        <w:spacing w:lineRule="auto" w:line="240" w:before="0" w:after="0"/>
        <w:ind w:left="0" w:hanging="0"/>
        <w:jc w:val="both"/>
        <w:rPr>
          <w:rFonts w:ascii="Arial" w:hAnsi="Arial" w:eastAsia="Arial" w:cs="Arial"/>
          <w:sz w:val="20"/>
          <w:szCs w:val="20"/>
        </w:rPr>
      </w:pPr>
      <w:r>
        <w:rPr>
          <w:color w:val="000000"/>
        </w:rPr>
        <w:t xml:space="preserve">El profesor de cada grupo informará a todos los alumnos/as en clase de los criterios de calificación y de los instrumentos de evaluación.  </w:t>
      </w:r>
    </w:p>
    <w:p>
      <w:pPr>
        <w:pStyle w:val="Normal1"/>
        <w:numPr>
          <w:ilvl w:val="0"/>
          <w:numId w:val="3"/>
        </w:numPr>
        <w:tabs>
          <w:tab w:val="clear" w:pos="720"/>
          <w:tab w:val="left" w:pos="284" w:leader="none"/>
        </w:tabs>
        <w:spacing w:lineRule="auto" w:line="240" w:before="0" w:after="0"/>
        <w:ind w:left="0" w:hanging="0"/>
        <w:jc w:val="both"/>
        <w:rPr>
          <w:rFonts w:ascii="Arial" w:hAnsi="Arial" w:eastAsia="Arial" w:cs="Arial"/>
          <w:sz w:val="20"/>
          <w:szCs w:val="20"/>
        </w:rPr>
      </w:pPr>
      <w:r>
        <w:rPr>
          <w:color w:val="000000"/>
        </w:rPr>
        <w:t xml:space="preserve">En la sección del Departamento de Física y Química de la página web del centro se publicarán los contenidos mínimos de la materia en 3º de ESO y los criterios de calificación. Del mismo modo, los profesores del Departamento darán a conocer esta información en los diferentes grupos de Google Classroom  creados para cada grupo clase.  </w:t>
      </w:r>
    </w:p>
    <w:p>
      <w:pPr>
        <w:pStyle w:val="Normal1"/>
        <w:numPr>
          <w:ilvl w:val="0"/>
          <w:numId w:val="3"/>
        </w:numPr>
        <w:tabs>
          <w:tab w:val="clear" w:pos="720"/>
          <w:tab w:val="left" w:pos="284" w:leader="none"/>
        </w:tabs>
        <w:ind w:left="0" w:hanging="0"/>
        <w:jc w:val="both"/>
        <w:rPr>
          <w:rFonts w:ascii="Arial" w:hAnsi="Arial" w:eastAsia="Arial" w:cs="Arial"/>
          <w:sz w:val="20"/>
          <w:szCs w:val="20"/>
        </w:rPr>
      </w:pPr>
      <w:r>
        <w:rPr>
          <w:color w:val="000000"/>
        </w:rPr>
        <w:t xml:space="preserve">Tanto en el Departamento de Física y Química como en Jefatura de Estudios se dispone de una copia de esta programación a disposición de los alumnos/as y sus familias para su consulta. </w:t>
      </w:r>
    </w:p>
    <w:p>
      <w:pPr>
        <w:pStyle w:val="Normal1"/>
        <w:tabs>
          <w:tab w:val="clear" w:pos="720"/>
          <w:tab w:val="left" w:pos="284" w:leader="none"/>
        </w:tabs>
        <w:ind w:firstLine="284"/>
        <w:jc w:val="both"/>
        <w:rPr>
          <w:rFonts w:ascii="Arial" w:hAnsi="Arial" w:eastAsia="Arial" w:cs="Arial"/>
          <w:sz w:val="20"/>
          <w:szCs w:val="20"/>
        </w:rPr>
      </w:pPr>
      <w:r>
        <w:rPr>
          <w:color w:val="000000"/>
        </w:rPr>
        <w:t xml:space="preserve">Asimismo, en cualquier momento los profesores de la materia pueden responder a todas aquellas cuestiones que les puedan surgir a los alumnos/as o a sus familias respecto a esta programación didáctica. </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17. OTRAS CONSIDERACIONES</w:t>
      </w:r>
    </w:p>
    <w:p>
      <w:pPr>
        <w:pStyle w:val="Normal1"/>
        <w:keepNext w:val="false"/>
        <w:keepLines w:val="false"/>
        <w:pageBreakBefore w:val="false"/>
        <w:widowControl/>
        <w:pBdr/>
        <w:shd w:val="clear" w:fill="auto"/>
        <w:spacing w:lineRule="auto" w:line="276" w:before="0" w:after="200"/>
        <w:ind w:left="0" w:right="0" w:hanging="0"/>
        <w:jc w:val="both"/>
        <w:rPr>
          <w:rFonts w:ascii="Cambria" w:hAnsi="Cambria" w:eastAsia="Cambria" w:cs="Cambria"/>
          <w:b/>
          <w:b/>
          <w:i w:val="false"/>
          <w:i w:val="false"/>
          <w:caps w:val="false"/>
          <w:smallCaps w:val="false"/>
          <w:strike w:val="false"/>
          <w:dstrike w:val="false"/>
          <w:color w:val="00000A"/>
          <w:position w:val="0"/>
          <w:sz w:val="22"/>
          <w:sz w:val="22"/>
          <w:szCs w:val="22"/>
          <w:u w:val="single"/>
          <w:vertAlign w:val="baseline"/>
        </w:rPr>
      </w:pPr>
      <w:r>
        <w:rPr>
          <w:rFonts w:eastAsia="Calibri" w:cs="Calibri"/>
          <w:b/>
          <w:i w:val="false"/>
          <w:caps w:val="false"/>
          <w:smallCaps w:val="false"/>
          <w:strike w:val="false"/>
          <w:dstrike w:val="false"/>
          <w:color w:val="00000A"/>
          <w:position w:val="0"/>
          <w:sz w:val="22"/>
          <w:sz w:val="22"/>
          <w:szCs w:val="22"/>
          <w:u w:val="single"/>
          <w:shd w:fill="auto" w:val="clear"/>
          <w:vertAlign w:val="baseline"/>
        </w:rPr>
        <w:t xml:space="preserve">ANEXO PAI </w:t>
      </w:r>
    </w:p>
    <w:p>
      <w:pPr>
        <w:pStyle w:val="Normal1"/>
        <w:rPr>
          <w:rFonts w:ascii="Cambria" w:hAnsi="Cambria" w:eastAsia="Cambria" w:cs="Cambria"/>
        </w:rPr>
      </w:pPr>
      <w:r>
        <w:rPr/>
        <w:t>Se respetarán los saberes básicos y los criterios de evaluación de la Programación</w:t>
      </w:r>
    </w:p>
    <w:p>
      <w:pPr>
        <w:pStyle w:val="Normal1"/>
        <w:rPr>
          <w:rFonts w:ascii="Cambria" w:hAnsi="Cambria" w:eastAsia="Cambria" w:cs="Cambria"/>
        </w:rPr>
      </w:pPr>
      <w:r>
        <w:rPr/>
        <w:t>Didáctica de Física y Química que se desarrolle en los grupos ordinarios de 2º ESO, adaptando</w:t>
      </w:r>
    </w:p>
    <w:p>
      <w:pPr>
        <w:pStyle w:val="Normal1"/>
        <w:rPr>
          <w:rFonts w:ascii="Cambria" w:hAnsi="Cambria" w:eastAsia="Cambria" w:cs="Cambria"/>
        </w:rPr>
      </w:pPr>
      <w:r>
        <w:rPr/>
        <w:t>la metodología y la distribución temporal al perfil concreto del alumnado de este grupo.</w:t>
      </w:r>
    </w:p>
    <w:p>
      <w:pPr>
        <w:pStyle w:val="Normal1"/>
        <w:rPr/>
      </w:pPr>
      <w:r>
        <w:rPr/>
      </w:r>
    </w:p>
    <w:p>
      <w:pPr>
        <w:pStyle w:val="Normal1"/>
        <w:rPr>
          <w:rFonts w:ascii="Cambria" w:hAnsi="Cambria" w:eastAsia="Cambria" w:cs="Cambria"/>
        </w:rPr>
      </w:pPr>
      <w:r>
        <w:rPr/>
        <w:t>En lo que respecta a la metodología, se procurará dejar tiempo de trabajo en clase para</w:t>
      </w:r>
    </w:p>
    <w:p>
      <w:pPr>
        <w:pStyle w:val="Normal1"/>
        <w:rPr>
          <w:rFonts w:ascii="Cambria" w:hAnsi="Cambria" w:eastAsia="Cambria" w:cs="Cambria"/>
        </w:rPr>
      </w:pPr>
      <w:r>
        <w:rPr/>
        <w:t>poder atender de forma más individualizada al alumnado, y se prestará especial atención</w:t>
      </w:r>
    </w:p>
    <w:p>
      <w:pPr>
        <w:pStyle w:val="Normal1"/>
        <w:rPr>
          <w:rFonts w:ascii="Cambria" w:hAnsi="Cambria" w:eastAsia="Cambria" w:cs="Cambria"/>
        </w:rPr>
      </w:pPr>
      <w:r>
        <w:rPr/>
        <w:t>al cuaderno del alumno, que deberá estar de acuerdo a las siguientes pautas:</w:t>
      </w:r>
    </w:p>
    <w:p>
      <w:pPr>
        <w:pStyle w:val="Normal1"/>
        <w:rPr>
          <w:rFonts w:ascii="Cambria" w:hAnsi="Cambria" w:eastAsia="Cambria" w:cs="Cambria"/>
        </w:rPr>
      </w:pPr>
      <w:r>
        <w:rPr/>
        <w:t xml:space="preserve">• </w:t>
      </w:r>
      <w:r>
        <w:rPr/>
        <w:t>Incluirá una portada, dónde aparecerá:</w:t>
      </w:r>
    </w:p>
    <w:p>
      <w:pPr>
        <w:pStyle w:val="Normal1"/>
        <w:rPr>
          <w:rFonts w:ascii="Cambria" w:hAnsi="Cambria" w:eastAsia="Cambria" w:cs="Cambria"/>
        </w:rPr>
      </w:pPr>
      <w:r>
        <w:rPr/>
        <w:t xml:space="preserve">El nombre de la materia: Física y Química </w:t>
      </w:r>
    </w:p>
    <w:p>
      <w:pPr>
        <w:pStyle w:val="Normal1"/>
        <w:rPr>
          <w:rFonts w:ascii="Cambria" w:hAnsi="Cambria" w:eastAsia="Cambria" w:cs="Cambria"/>
        </w:rPr>
      </w:pPr>
      <w:r>
        <w:rPr/>
        <w:t>El nombre del alumno</w:t>
      </w:r>
    </w:p>
    <w:p>
      <w:pPr>
        <w:pStyle w:val="Normal1"/>
        <w:rPr>
          <w:rFonts w:ascii="Cambria" w:hAnsi="Cambria" w:eastAsia="Cambria" w:cs="Cambria"/>
        </w:rPr>
      </w:pPr>
      <w:r>
        <w:rPr/>
        <w:t xml:space="preserve">• </w:t>
      </w:r>
      <w:r>
        <w:rPr/>
        <w:t>En lo que respecta al contenido del cuaderno, tendrá:</w:t>
      </w:r>
    </w:p>
    <w:p>
      <w:pPr>
        <w:pStyle w:val="Normal1"/>
        <w:rPr>
          <w:rFonts w:ascii="Cambria" w:hAnsi="Cambria" w:eastAsia="Cambria" w:cs="Cambria"/>
        </w:rPr>
      </w:pPr>
      <w:r>
        <w:rPr/>
        <w:t>Título de cada tema</w:t>
      </w:r>
    </w:p>
    <w:p>
      <w:pPr>
        <w:pStyle w:val="Normal1"/>
        <w:rPr>
          <w:rFonts w:ascii="Cambria" w:hAnsi="Cambria" w:eastAsia="Cambria" w:cs="Cambria"/>
        </w:rPr>
      </w:pPr>
      <w:r>
        <w:rPr/>
        <w:t>Actividades con , respuestas y corrección (en 2 colores</w:t>
      </w:r>
    </w:p>
    <w:p>
      <w:pPr>
        <w:pStyle w:val="Normal1"/>
        <w:rPr>
          <w:rFonts w:ascii="Cambria" w:hAnsi="Cambria" w:eastAsia="Cambria" w:cs="Cambria"/>
        </w:rPr>
      </w:pPr>
      <w:r>
        <w:rPr/>
        <w:t>diferentes)</w:t>
      </w:r>
    </w:p>
    <w:p>
      <w:pPr>
        <w:pStyle w:val="Normal1"/>
        <w:rPr>
          <w:rFonts w:ascii="Cambria" w:hAnsi="Cambria" w:eastAsia="Cambria" w:cs="Cambria"/>
        </w:rPr>
      </w:pPr>
      <w:r>
        <w:rPr/>
        <w:t>Esquema del contenido del tema, donde se encuentren los saberes de esa unidad</w:t>
      </w:r>
    </w:p>
    <w:p>
      <w:pPr>
        <w:pStyle w:val="Normal1"/>
        <w:rPr>
          <w:rFonts w:ascii="Cambria" w:hAnsi="Cambria" w:eastAsia="Cambria" w:cs="Cambria"/>
        </w:rPr>
      </w:pPr>
      <w:r>
        <w:rPr/>
        <w:t xml:space="preserve">• </w:t>
      </w:r>
      <w:r>
        <w:rPr/>
        <w:t>En la presentación se tendrán en cuenta los siguientes aspectos: los márgenes,</w:t>
      </w:r>
    </w:p>
    <w:p>
      <w:pPr>
        <w:pStyle w:val="Normal1"/>
        <w:rPr>
          <w:rFonts w:ascii="Cambria" w:hAnsi="Cambria" w:eastAsia="Cambria" w:cs="Cambria"/>
        </w:rPr>
      </w:pPr>
      <w:r>
        <w:rPr/>
        <w:t>que esté limpio, con buena letra, sin faltas de ortografía, sin tachaduras.</w:t>
      </w:r>
    </w:p>
    <w:p>
      <w:pPr>
        <w:pStyle w:val="Normal1"/>
        <w:rPr/>
      </w:pPr>
      <w:r>
        <w:rPr/>
      </w:r>
    </w:p>
    <w:p>
      <w:pPr>
        <w:pStyle w:val="Normal1"/>
        <w:rPr>
          <w:rFonts w:ascii="Cambria" w:hAnsi="Cambria" w:eastAsia="Cambria" w:cs="Cambria"/>
        </w:rPr>
      </w:pPr>
      <w:r>
        <w:rPr/>
        <w:t>La distribución temporal de las Unidades Didácticas estará abierta a la evolución de los</w:t>
      </w:r>
    </w:p>
    <w:p>
      <w:pPr>
        <w:pStyle w:val="Normal1"/>
        <w:rPr>
          <w:rFonts w:ascii="Cambria" w:hAnsi="Cambria" w:eastAsia="Cambria" w:cs="Cambria"/>
        </w:rPr>
      </w:pPr>
      <w:r>
        <w:rPr/>
        <w:t>alumnos a lo largo del curso escolar.</w:t>
      </w:r>
    </w:p>
    <w:p>
      <w:pPr>
        <w:pStyle w:val="Normal1"/>
        <w:rPr>
          <w:rFonts w:ascii="Cambria" w:hAnsi="Cambria" w:eastAsia="Cambria" w:cs="Cambria"/>
        </w:rPr>
      </w:pPr>
      <w:r>
        <w:rPr/>
        <w:t>CRITERIOS DE CALIFICACIÓN</w:t>
      </w:r>
    </w:p>
    <w:p>
      <w:pPr>
        <w:pStyle w:val="Normal1"/>
        <w:rPr>
          <w:rFonts w:ascii="Cambria" w:hAnsi="Cambria" w:eastAsia="Cambria" w:cs="Cambria"/>
        </w:rPr>
      </w:pPr>
      <w:r>
        <w:rPr/>
        <w:t>Para la calificación de cada evaluación, se aplicarán los siguientes criterios:</w:t>
      </w:r>
    </w:p>
    <w:p>
      <w:pPr>
        <w:pStyle w:val="Normal1"/>
        <w:rPr>
          <w:rFonts w:ascii="Cambria" w:hAnsi="Cambria" w:eastAsia="Cambria" w:cs="Cambria"/>
        </w:rPr>
      </w:pPr>
      <w:r>
        <w:rPr/>
        <w:t xml:space="preserve">● </w:t>
      </w:r>
      <w:r>
        <w:rPr/>
        <w:t>60 % de la calificación: pruebas escritas</w:t>
      </w:r>
    </w:p>
    <w:p>
      <w:pPr>
        <w:pStyle w:val="Normal1"/>
        <w:rPr>
          <w:rFonts w:ascii="Cambria" w:hAnsi="Cambria" w:eastAsia="Cambria" w:cs="Cambria"/>
        </w:rPr>
      </w:pPr>
      <w:r>
        <w:rPr/>
        <w:t>En principio la nota de las pruebas escritas será la media aritmética de todas las pruebas</w:t>
      </w:r>
    </w:p>
    <w:p>
      <w:pPr>
        <w:pStyle w:val="Normal1"/>
        <w:rPr>
          <w:rFonts w:ascii="Cambria" w:hAnsi="Cambria" w:eastAsia="Cambria" w:cs="Cambria"/>
        </w:rPr>
      </w:pPr>
      <w:r>
        <w:rPr/>
        <w:t>realizadas durante la evaluación. En el caso de que no todas las pruebas escritas</w:t>
      </w:r>
    </w:p>
    <w:p>
      <w:pPr>
        <w:pStyle w:val="Normal1"/>
        <w:rPr>
          <w:rFonts w:ascii="Cambria" w:hAnsi="Cambria" w:eastAsia="Cambria" w:cs="Cambria"/>
        </w:rPr>
      </w:pPr>
      <w:r>
        <w:rPr/>
        <w:t>tuvieran el mismo peso porcentual, el alumno será informado con anterioridad a su</w:t>
      </w:r>
    </w:p>
    <w:p>
      <w:pPr>
        <w:pStyle w:val="Normal1"/>
        <w:rPr>
          <w:rFonts w:ascii="Cambria" w:hAnsi="Cambria" w:eastAsia="Cambria" w:cs="Cambria"/>
        </w:rPr>
      </w:pPr>
      <w:r>
        <w:rPr/>
        <w:t>realización.</w:t>
      </w:r>
    </w:p>
    <w:p>
      <w:pPr>
        <w:pStyle w:val="Normal1"/>
        <w:rPr>
          <w:rFonts w:ascii="Cambria" w:hAnsi="Cambria" w:eastAsia="Cambria" w:cs="Cambria"/>
        </w:rPr>
      </w:pPr>
      <w:r>
        <w:rPr/>
        <w:t>Cualquier conducta fraudulenta (copiar, intercambiar folios, facilitar contenidos a un</w:t>
      </w:r>
    </w:p>
    <w:p>
      <w:pPr>
        <w:pStyle w:val="Normal1"/>
        <w:rPr>
          <w:rFonts w:ascii="Cambria" w:hAnsi="Cambria" w:eastAsia="Cambria" w:cs="Cambria"/>
        </w:rPr>
      </w:pPr>
      <w:r>
        <w:rPr/>
        <w:t>compañero, usar el móvil o cualquier dispositivo electrónico, etc...) durante la</w:t>
      </w:r>
    </w:p>
    <w:p>
      <w:pPr>
        <w:pStyle w:val="Normal1"/>
        <w:rPr>
          <w:rFonts w:ascii="Cambria" w:hAnsi="Cambria" w:eastAsia="Cambria" w:cs="Cambria"/>
        </w:rPr>
      </w:pPr>
      <w:r>
        <w:rPr/>
        <w:t>realización de alguna prueba escrita comportará la interrupción inmediata de la misma</w:t>
      </w:r>
    </w:p>
    <w:p>
      <w:pPr>
        <w:pStyle w:val="Normal1"/>
        <w:rPr>
          <w:rFonts w:ascii="Cambria" w:hAnsi="Cambria" w:eastAsia="Cambria" w:cs="Cambria"/>
        </w:rPr>
      </w:pPr>
      <w:r>
        <w:rPr/>
        <w:t>para el alumno o alumnos afectados y la calificación de dicha prueba será de cero.</w:t>
      </w:r>
    </w:p>
    <w:p>
      <w:pPr>
        <w:pStyle w:val="Normal1"/>
        <w:rPr>
          <w:rFonts w:ascii="Cambria" w:hAnsi="Cambria" w:eastAsia="Cambria" w:cs="Cambria"/>
        </w:rPr>
      </w:pPr>
      <w:r>
        <w:rPr/>
        <w:t>En el caso de que un alumno/a falte a la realización de una prueba escrita, ésta se</w:t>
      </w:r>
    </w:p>
    <w:p>
      <w:pPr>
        <w:pStyle w:val="Normal1"/>
        <w:rPr>
          <w:rFonts w:ascii="Cambria" w:hAnsi="Cambria" w:eastAsia="Cambria" w:cs="Cambria"/>
        </w:rPr>
      </w:pPr>
      <w:r>
        <w:rPr/>
        <w:t>repetirá siempre que dicha falta sea justificada mediante el correspondiente justificante</w:t>
      </w:r>
    </w:p>
    <w:p>
      <w:pPr>
        <w:pStyle w:val="Normal1"/>
        <w:rPr>
          <w:rFonts w:ascii="Cambria" w:hAnsi="Cambria" w:eastAsia="Cambria" w:cs="Cambria"/>
        </w:rPr>
      </w:pPr>
      <w:r>
        <w:rPr/>
        <w:t>de las familias.</w:t>
      </w:r>
    </w:p>
    <w:p>
      <w:pPr>
        <w:pStyle w:val="Normal1"/>
        <w:rPr/>
      </w:pPr>
      <w:r>
        <w:rPr/>
      </w:r>
    </w:p>
    <w:p>
      <w:pPr>
        <w:pStyle w:val="Normal1"/>
        <w:rPr>
          <w:rFonts w:ascii="Cambria" w:hAnsi="Cambria" w:eastAsia="Cambria" w:cs="Cambria"/>
        </w:rPr>
      </w:pPr>
      <w:r>
        <w:rPr/>
        <w:t xml:space="preserve">● </w:t>
      </w:r>
      <w:r>
        <w:rPr/>
        <w:t>40 % de la calificación: producciones del alumno/a</w:t>
      </w:r>
    </w:p>
    <w:p>
      <w:pPr>
        <w:pStyle w:val="Normal1"/>
        <w:rPr>
          <w:rFonts w:ascii="Cambria" w:hAnsi="Cambria" w:eastAsia="Cambria" w:cs="Cambria"/>
        </w:rPr>
      </w:pPr>
      <w:r>
        <w:rPr/>
        <w:t>Las producciones escritas del alumno/a que se valorarán serán: actividades realizadas en</w:t>
      </w:r>
    </w:p>
    <w:p>
      <w:pPr>
        <w:pStyle w:val="Normal1"/>
        <w:rPr>
          <w:rFonts w:ascii="Cambria" w:hAnsi="Cambria" w:eastAsia="Cambria" w:cs="Cambria"/>
        </w:rPr>
      </w:pPr>
      <w:r>
        <w:rPr/>
        <w:t>clase, deberes diarios, fichas de repaso, el cuaderno del alumno (de acuerdo a las pautas establecidas),</w:t>
      </w:r>
    </w:p>
    <w:p>
      <w:pPr>
        <w:pStyle w:val="Normal1"/>
        <w:rPr>
          <w:rFonts w:ascii="Cambria" w:hAnsi="Cambria" w:eastAsia="Cambria" w:cs="Cambria"/>
        </w:rPr>
      </w:pPr>
      <w:r>
        <w:rPr/>
        <w:t>etc</w:t>
      </w:r>
    </w:p>
    <w:p>
      <w:pPr>
        <w:pStyle w:val="Normal1"/>
        <w:rPr>
          <w:rFonts w:ascii="Cambria" w:hAnsi="Cambria" w:eastAsia="Cambria" w:cs="Cambria"/>
        </w:rPr>
      </w:pPr>
      <w:r>
        <w:rPr/>
        <w:t>El alumno será informado de la fecha de entrega del cuaderno. Si se entrega fuera del</w:t>
      </w:r>
    </w:p>
    <w:p>
      <w:pPr>
        <w:pStyle w:val="Normal1"/>
        <w:rPr>
          <w:rFonts w:ascii="Cambria" w:hAnsi="Cambria" w:eastAsia="Cambria" w:cs="Cambria"/>
        </w:rPr>
      </w:pPr>
      <w:r>
        <w:rPr/>
        <w:t>plazo establecido, y como máximo siete días tras la fecha límite, se considerará</w:t>
      </w:r>
    </w:p>
    <w:p>
      <w:pPr>
        <w:pStyle w:val="Normal1"/>
        <w:rPr>
          <w:rFonts w:ascii="Cambria" w:hAnsi="Cambria" w:eastAsia="Cambria" w:cs="Cambria"/>
        </w:rPr>
      </w:pPr>
      <w:r>
        <w:rPr/>
        <w:t>entregado con retraso y en ese caso la calificación máxima que podrá obtenerse será el</w:t>
      </w:r>
    </w:p>
    <w:p>
      <w:pPr>
        <w:pStyle w:val="Normal1"/>
        <w:rPr>
          <w:rFonts w:ascii="Cambria" w:hAnsi="Cambria" w:eastAsia="Cambria" w:cs="Cambria"/>
        </w:rPr>
      </w:pPr>
      <w:r>
        <w:rPr/>
        <w:t>50% de la puntuación total del cuaderno.</w:t>
      </w:r>
    </w:p>
    <w:p>
      <w:pPr>
        <w:pStyle w:val="Normal1"/>
        <w:rPr>
          <w:rFonts w:ascii="Cambria" w:hAnsi="Cambria" w:eastAsia="Cambria" w:cs="Cambria"/>
        </w:rPr>
      </w:pPr>
      <w:r>
        <w:rPr/>
        <w:t>Se considerará superada una evaluación cuando la calificación sea igual o superior a 5.</w:t>
      </w:r>
    </w:p>
    <w:p>
      <w:pPr>
        <w:pStyle w:val="Normal1"/>
        <w:rPr>
          <w:rFonts w:ascii="Cambria" w:hAnsi="Cambria" w:eastAsia="Cambria" w:cs="Cambria"/>
        </w:rPr>
      </w:pPr>
      <w:r>
        <w:rPr/>
        <w:t>Dado que en el boletín de calificaciones de cada evaluación se han de consignar los resultados</w:t>
      </w:r>
    </w:p>
    <w:p>
      <w:pPr>
        <w:pStyle w:val="Normal1"/>
        <w:rPr>
          <w:rFonts w:ascii="Cambria" w:hAnsi="Cambria" w:eastAsia="Cambria" w:cs="Cambria"/>
        </w:rPr>
      </w:pPr>
      <w:r>
        <w:rPr/>
        <w:t>con los términos de insuficiente (IN), suficiente (SU), bien (BI), notable (NT) o sobresaliente</w:t>
      </w:r>
    </w:p>
    <w:p>
      <w:pPr>
        <w:pStyle w:val="Normal1"/>
        <w:rPr>
          <w:rFonts w:ascii="Cambria" w:hAnsi="Cambria" w:eastAsia="Cambria" w:cs="Cambria"/>
        </w:rPr>
      </w:pPr>
      <w:r>
        <w:rPr/>
        <w:t>(SB), se procederá de la siguiente forma:</w:t>
      </w:r>
    </w:p>
    <w:p>
      <w:pPr>
        <w:pStyle w:val="Normal1"/>
        <w:rPr>
          <w:rFonts w:ascii="Cambria" w:hAnsi="Cambria" w:eastAsia="Cambria" w:cs="Cambria"/>
        </w:rPr>
      </w:pPr>
      <w:r>
        <w:rPr/>
        <w:t xml:space="preserve">● </w:t>
      </w:r>
      <w:r>
        <w:rPr/>
        <w:t>Insuficiente: aquellas calificaciones inferiores 5,00</w:t>
      </w:r>
    </w:p>
    <w:p>
      <w:pPr>
        <w:pStyle w:val="Normal1"/>
        <w:rPr>
          <w:rFonts w:ascii="Cambria" w:hAnsi="Cambria" w:eastAsia="Cambria" w:cs="Cambria"/>
        </w:rPr>
      </w:pPr>
      <w:r>
        <w:rPr/>
        <w:t xml:space="preserve">● </w:t>
      </w:r>
      <w:r>
        <w:rPr/>
        <w:t>Suficiente: 5,00 a 5,49</w:t>
      </w:r>
    </w:p>
    <w:p>
      <w:pPr>
        <w:pStyle w:val="Normal1"/>
        <w:rPr>
          <w:rFonts w:ascii="Cambria" w:hAnsi="Cambria" w:eastAsia="Cambria" w:cs="Cambria"/>
        </w:rPr>
      </w:pPr>
      <w:r>
        <w:rPr/>
        <w:t xml:space="preserve">● </w:t>
      </w:r>
      <w:r>
        <w:rPr/>
        <w:t>Bien: 5,50 a 6,49</w:t>
      </w:r>
    </w:p>
    <w:p>
      <w:pPr>
        <w:pStyle w:val="Normal1"/>
        <w:rPr>
          <w:rFonts w:ascii="Cambria" w:hAnsi="Cambria" w:eastAsia="Cambria" w:cs="Cambria"/>
        </w:rPr>
      </w:pPr>
      <w:r>
        <w:rPr/>
        <w:t xml:space="preserve">● </w:t>
      </w:r>
      <w:r>
        <w:rPr/>
        <w:t>Notable: 6,50 a 8,49</w:t>
      </w:r>
    </w:p>
    <w:p>
      <w:pPr>
        <w:pStyle w:val="Normal1"/>
        <w:rPr>
          <w:rFonts w:ascii="Cambria" w:hAnsi="Cambria" w:eastAsia="Cambria" w:cs="Cambria"/>
        </w:rPr>
      </w:pPr>
      <w:r>
        <w:rPr/>
        <w:t xml:space="preserve">● </w:t>
      </w:r>
      <w:r>
        <w:rPr/>
        <w:t>Sobresaliente: 8,50 a 10,00</w:t>
      </w:r>
    </w:p>
    <w:p>
      <w:pPr>
        <w:pStyle w:val="Normal1"/>
        <w:rPr>
          <w:rFonts w:ascii="Cambria" w:hAnsi="Cambria" w:eastAsia="Cambria" w:cs="Cambria"/>
        </w:rPr>
      </w:pPr>
      <w:r>
        <w:rPr/>
        <w:t>La calificación final del curso será la media ponderada de las calificaciones obtenidas en las 3</w:t>
      </w:r>
    </w:p>
    <w:p>
      <w:pPr>
        <w:pStyle w:val="Normal1"/>
        <w:rPr>
          <w:rFonts w:ascii="Cambria" w:hAnsi="Cambria" w:eastAsia="Cambria" w:cs="Cambria"/>
        </w:rPr>
      </w:pPr>
      <w:r>
        <w:rPr/>
        <w:t xml:space="preserve">evaluaciones, 1ªEVA 25%, 2ªEVA 30% y 3ºEVA 45% </w:t>
      </w:r>
    </w:p>
    <w:p>
      <w:pPr>
        <w:pStyle w:val="Normal1"/>
        <w:rPr>
          <w:rFonts w:ascii="Cambria" w:hAnsi="Cambria" w:eastAsia="Cambria" w:cs="Cambria"/>
        </w:rPr>
      </w:pPr>
      <w:r>
        <w:rPr/>
        <w:t>Se considerará superada la materia cuando la calificación final del curso sea igual o superior a</w:t>
      </w:r>
    </w:p>
    <w:p>
      <w:pPr>
        <w:pStyle w:val="Normal1"/>
        <w:rPr>
          <w:rFonts w:ascii="Cambria" w:hAnsi="Cambria" w:eastAsia="Cambria" w:cs="Cambria"/>
        </w:rPr>
      </w:pPr>
      <w:r>
        <w:rPr/>
        <w:t>5.</w:t>
      </w:r>
    </w:p>
    <w:p>
      <w:pPr>
        <w:pStyle w:val="Normal1"/>
        <w:rPr>
          <w:rFonts w:ascii="Cambria" w:hAnsi="Cambria" w:eastAsia="Cambria" w:cs="Cambria"/>
        </w:rPr>
      </w:pPr>
      <w:r>
        <w:rPr/>
        <w:t>En el caso de que la calificación final del curso sea inferior a 5, el alumno deberá presentarse a</w:t>
      </w:r>
    </w:p>
    <w:p>
      <w:pPr>
        <w:pStyle w:val="Normal1"/>
        <w:rPr>
          <w:rFonts w:ascii="Cambria" w:hAnsi="Cambria" w:eastAsia="Cambria" w:cs="Cambria"/>
        </w:rPr>
      </w:pPr>
      <w:r>
        <w:rPr/>
        <w:t>una prueba final en junio de las evaluaciones no superadas. Para los alumnos que estén en</w:t>
      </w:r>
    </w:p>
    <w:p>
      <w:pPr>
        <w:pStyle w:val="Normal1"/>
        <w:rPr>
          <w:rFonts w:ascii="Cambria" w:hAnsi="Cambria" w:eastAsia="Cambria" w:cs="Cambria"/>
        </w:rPr>
      </w:pPr>
      <w:r>
        <w:rPr/>
        <w:t>esta situación su calificación final será la media ponderada de las evaluaciones ya superadas</w:t>
      </w:r>
    </w:p>
    <w:p>
      <w:pPr>
        <w:pStyle w:val="Normal1"/>
        <w:rPr>
          <w:rFonts w:ascii="Cambria" w:hAnsi="Cambria" w:eastAsia="Cambria" w:cs="Cambria"/>
        </w:rPr>
      </w:pPr>
      <w:r>
        <w:rPr/>
        <w:t>durante el curso y dicha prueba final. Si dicha calificación es inferior a 5, la nota final será la</w:t>
      </w:r>
    </w:p>
    <w:p>
      <w:pPr>
        <w:pStyle w:val="Normal1"/>
        <w:rPr>
          <w:rFonts w:ascii="Cambria" w:hAnsi="Cambria" w:eastAsia="Cambria" w:cs="Cambria"/>
        </w:rPr>
      </w:pPr>
      <w:r>
        <w:rPr/>
        <w:t>más alta entre la media aritmética de las tres evaluaciones obtenida a lo largo del curso y la</w:t>
      </w:r>
    </w:p>
    <w:p>
      <w:pPr>
        <w:pStyle w:val="Normal1"/>
        <w:rPr>
          <w:rFonts w:ascii="Cambria" w:hAnsi="Cambria" w:eastAsia="Cambria" w:cs="Cambria"/>
        </w:rPr>
      </w:pPr>
      <w:r>
        <w:rPr/>
        <w:t>nota obtenida una vez realizada la prueba final.</w:t>
      </w:r>
    </w:p>
    <w:p>
      <w:pPr>
        <w:pStyle w:val="Normal1"/>
        <w:rPr>
          <w:rFonts w:ascii="Cambria" w:hAnsi="Cambria" w:eastAsia="Cambria" w:cs="Cambria"/>
        </w:rPr>
      </w:pPr>
      <w:r>
        <w:rPr/>
        <w:t>En cualquier caso, la calificación final del curso que aparecerá en el boletín estará expresada</w:t>
      </w:r>
    </w:p>
    <w:p>
      <w:pPr>
        <w:pStyle w:val="Normal1"/>
        <w:rPr>
          <w:rFonts w:ascii="Cambria" w:hAnsi="Cambria" w:eastAsia="Cambria" w:cs="Cambria"/>
        </w:rPr>
      </w:pPr>
      <w:r>
        <w:rPr/>
        <w:t>en términos de insuficiente (IN), suficiente (SU), bien (BI), notable (NT) o sobresaliente (SB) de</w:t>
      </w:r>
    </w:p>
    <w:p>
      <w:pPr>
        <w:pStyle w:val="Normal1"/>
        <w:rPr>
          <w:rFonts w:ascii="Cambria" w:hAnsi="Cambria" w:eastAsia="Cambria" w:cs="Cambria"/>
        </w:rPr>
      </w:pPr>
      <w:r>
        <w:rPr/>
        <w:t>acuerdo al procedimiento descrito en la calificación de cada evaluación.</w:t>
      </w:r>
    </w:p>
    <w:p>
      <w:pPr>
        <w:pStyle w:val="Normal1"/>
        <w:keepNext w:val="false"/>
        <w:keepLines w:val="false"/>
        <w:pageBreakBefore w:val="false"/>
        <w:widowControl/>
        <w:pBdr/>
        <w:shd w:val="clear" w:fill="auto"/>
        <w:spacing w:lineRule="auto" w:line="240" w:before="0" w:after="200"/>
        <w:ind w:left="0" w:right="0" w:hanging="0"/>
        <w:jc w:val="both"/>
        <w:rPr/>
      </w:pPr>
      <w:r>
        <w:rPr/>
      </w:r>
    </w:p>
    <w:p>
      <w:pPr>
        <w:pStyle w:val="Normal1"/>
        <w:widowControl/>
        <w:pBdr/>
        <w:shd w:val="clear" w:fill="auto"/>
        <w:spacing w:lineRule="auto" w:line="240" w:before="0" w:after="200"/>
        <w:ind w:left="0" w:right="0" w:hanging="0"/>
        <w:jc w:val="both"/>
        <w:rPr/>
      </w:pPr>
      <w:r>
        <w:rPr/>
      </w:r>
    </w:p>
    <w:p>
      <w:pPr>
        <w:pStyle w:val="Normal1"/>
        <w:widowControl/>
        <w:pBdr/>
        <w:shd w:val="clear" w:fill="auto"/>
        <w:spacing w:lineRule="auto" w:line="240" w:before="0" w:after="200"/>
        <w:ind w:left="0" w:right="0" w:hanging="0"/>
        <w:jc w:val="both"/>
        <w:rPr/>
      </w:pPr>
      <w:r>
        <w:rPr/>
      </w:r>
    </w:p>
    <w:p>
      <w:pPr>
        <w:pStyle w:val="Normal1"/>
        <w:widowControl/>
        <w:pBdr/>
        <w:shd w:val="clear" w:fill="auto"/>
        <w:spacing w:lineRule="auto" w:line="240" w:before="0" w:after="200"/>
        <w:ind w:left="0" w:right="0" w:hanging="0"/>
        <w:jc w:val="both"/>
        <w:rPr/>
      </w:pPr>
      <w:r>
        <w:rPr/>
      </w:r>
    </w:p>
    <w:p>
      <w:pPr>
        <w:pStyle w:val="Normal1"/>
        <w:widowControl/>
        <w:pBdr/>
        <w:shd w:val="clear" w:fill="auto"/>
        <w:spacing w:lineRule="auto" w:line="240" w:before="0" w:after="200"/>
        <w:ind w:left="0" w:right="0" w:hanging="0"/>
        <w:jc w:val="both"/>
        <w:rPr/>
      </w:pPr>
      <w:r>
        <w:rPr/>
      </w:r>
    </w:p>
    <w:p>
      <w:pPr>
        <w:pStyle w:val="Normal1"/>
        <w:widowControl/>
        <w:pBdr/>
        <w:shd w:val="clear" w:fill="auto"/>
        <w:spacing w:lineRule="auto" w:line="240" w:before="0" w:after="200"/>
        <w:ind w:left="0" w:right="0" w:hanging="0"/>
        <w:jc w:val="both"/>
        <w:rPr/>
      </w:pPr>
      <w:r>
        <w:rPr/>
      </w:r>
    </w:p>
    <w:p>
      <w:pPr>
        <w:pStyle w:val="Normal1"/>
        <w:widowControl/>
        <w:pBdr/>
        <w:shd w:val="clear" w:fill="auto"/>
        <w:spacing w:lineRule="auto" w:line="240" w:before="0" w:after="200"/>
        <w:ind w:left="0" w:right="0" w:hanging="0"/>
        <w:jc w:val="both"/>
        <w:rPr/>
      </w:pPr>
      <w:r>
        <w:rPr/>
      </w:r>
    </w:p>
    <w:p>
      <w:pPr>
        <w:sectPr>
          <w:headerReference w:type="default" r:id="rId2"/>
          <w:footerReference w:type="default" r:id="rId3"/>
          <w:type w:val="nextPage"/>
          <w:pgSz w:w="11906" w:h="16838"/>
          <w:pgMar w:left="1701" w:right="1701" w:header="708" w:top="1417" w:footer="708" w:bottom="1417" w:gutter="0"/>
          <w:pgNumType w:start="1" w:fmt="decimal"/>
          <w:formProt w:val="false"/>
          <w:titlePg/>
          <w:textDirection w:val="lrTb"/>
          <w:docGrid w:type="default" w:linePitch="100" w:charSpace="4096"/>
        </w:sectPr>
        <w:pStyle w:val="Normal1"/>
        <w:widowControl/>
        <w:pBdr/>
        <w:shd w:val="clear" w:fill="auto"/>
        <w:spacing w:lineRule="auto" w:line="240" w:before="0" w:after="200"/>
        <w:ind w:left="0" w:right="0" w:hanging="0"/>
        <w:jc w:val="both"/>
        <w:rPr/>
      </w:pPr>
      <w:r>
        <w:rPr/>
      </w:r>
    </w:p>
    <w:p>
      <w:pPr>
        <w:pStyle w:val="Normal"/>
        <w:rPr>
          <w:rFonts w:ascii="Arial" w:hAnsi="Arial"/>
          <w:sz w:val="20"/>
          <w:szCs w:val="20"/>
          <w:u w:val="single"/>
        </w:rPr>
      </w:pPr>
      <w:r>
        <w:rPr>
          <w:rFonts w:ascii="Arial" w:hAnsi="Arial"/>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tbl>
      <w:tblPr>
        <w:tblStyle w:val="a0"/>
        <w:tblW w:w="8479" w:type="dxa"/>
        <w:jc w:val="left"/>
        <w:tblInd w:w="-108" w:type="dxa"/>
        <w:tblCellMar>
          <w:top w:w="0" w:type="dxa"/>
          <w:left w:w="108" w:type="dxa"/>
          <w:bottom w:w="0" w:type="dxa"/>
          <w:right w:w="108" w:type="dxa"/>
        </w:tblCellMar>
        <w:tblLook w:firstRow="1" w:noVBand="1" w:lastRow="0" w:firstColumn="1" w:lastColumn="0" w:noHBand="0" w:val="04a0"/>
      </w:tblPr>
      <w:tblGrid>
        <w:gridCol w:w="3226"/>
        <w:gridCol w:w="5252"/>
      </w:tblGrid>
      <w:tr>
        <w:trPr>
          <w:trHeight w:val="2470" w:hRule="atLeast"/>
          <w:cnfStyle w:val="100000000000" w:firstRow="1" w:lastRow="0" w:firstColumn="0" w:lastColumn="0" w:oddVBand="0" w:evenVBand="0" w:oddHBand="0" w:evenHBand="0" w:firstRowFirstColumn="0" w:firstRowLastColumn="0" w:lastRowFirstColumn="0" w:lastRowLastColumn="0"/>
        </w:trPr>
        <w:tc>
          <w:tcPr>
            <w:tcW w:w="3226" w:type="dxa"/>
            <w:cnfStyle w:val="001000000000" w:firstRow="0" w:lastRow="0" w:firstColumn="1" w:lastColumn="0" w:oddVBand="0" w:evenVBand="0" w:oddHBand="0" w:evenHBand="0" w:firstRowFirstColumn="0" w:firstRowLastColumn="0" w:lastRowFirstColumn="0" w:lastRowLastColumn="0"/>
            <w:tcBorders>
              <w:top w:val="single" w:sz="8" w:space="0" w:color="4F81BD"/>
              <w:bottom w:val="single" w:sz="8" w:space="0" w:color="4F81BD"/>
            </w:tcBorders>
            <w:shd w:color="auto" w:fill="548DD4" w:val="clear"/>
          </w:tcPr>
          <w:p>
            <w:pPr>
              <w:pStyle w:val="Normal"/>
              <w:jc w:val="center"/>
              <w:rPr/>
            </w:pPr>
            <w:r>
              <w:rPr>
                <w:rFonts w:ascii="Arial" w:hAnsi="Arial"/>
                <w:color w:val="FFFFFF"/>
                <w:sz w:val="20"/>
                <w:szCs w:val="20"/>
              </w:rPr>
              <w:t xml:space="preserve">IES LA PUEBLA DE  </w:t>
            </w:r>
          </w:p>
          <w:p>
            <w:pPr>
              <w:pStyle w:val="Normal"/>
              <w:spacing w:before="0" w:after="200"/>
              <w:jc w:val="center"/>
              <w:rPr/>
            </w:pPr>
            <w:r>
              <w:rPr>
                <w:rFonts w:ascii="Arial" w:hAnsi="Arial"/>
                <w:color w:val="FFFFFF"/>
                <w:sz w:val="20"/>
                <w:szCs w:val="20"/>
              </w:rPr>
              <w:t xml:space="preserve">             </w:t>
            </w:r>
            <w:r>
              <w:rPr>
                <w:rFonts w:ascii="Arial" w:hAnsi="Arial"/>
                <w:color w:val="FFFFFF"/>
                <w:sz w:val="20"/>
                <w:szCs w:val="20"/>
              </w:rPr>
              <w:t>ALFINDÉN</w:t>
            </w:r>
          </w:p>
        </w:tc>
        <w:tc>
          <w:tcPr>
            <w:tcW w:w="5252" w:type="dxa"/>
            <w:tcBorders>
              <w:top w:val="single" w:sz="8" w:space="0" w:color="4F81BD"/>
              <w:bottom w:val="single" w:sz="8" w:space="0" w:color="4F81BD"/>
            </w:tcBorders>
            <w:shd w:color="auto" w:fill="auto" w:val="clear"/>
          </w:tcPr>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rFonts w:ascii="Cambria" w:hAnsi="Cambria"/>
                <w:b w:val="false"/>
                <w:color w:val="1F497D"/>
                <w:sz w:val="22"/>
                <w:szCs w:val="22"/>
              </w:rPr>
              <w:t xml:space="preserve">PROGRAMACIÓN DIDÁCTICA DE FÍSICA Y QUÍMICA </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color w:val="1F497D"/>
                <w:sz w:val="22"/>
                <w:szCs w:val="22"/>
              </w:rPr>
            </w:pPr>
            <w:r>
              <w:rPr>
                <w:rFonts w:ascii="Cambria" w:hAnsi="Cambria"/>
                <w:color w:val="1F497D"/>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rFonts w:ascii="Cambria" w:hAnsi="Cambria"/>
                <w:b w:val="false"/>
                <w:color w:val="1F497D"/>
                <w:sz w:val="22"/>
                <w:szCs w:val="22"/>
              </w:rPr>
              <w:t>3º EDUCACIÓN SECUNDARIA OBLIGATORIA</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color w:val="1F497D"/>
                <w:sz w:val="22"/>
                <w:szCs w:val="22"/>
              </w:rPr>
            </w:pPr>
            <w:r>
              <w:rPr>
                <w:rFonts w:ascii="Cambria" w:hAnsi="Cambria"/>
                <w:color w:val="1F497D"/>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bookmarkStart w:id="2" w:name="_heading=h.gjdgxs1"/>
            <w:bookmarkEnd w:id="2"/>
            <w:r>
              <w:rPr>
                <w:rFonts w:ascii="Cambria" w:hAnsi="Cambria"/>
                <w:b w:val="false"/>
                <w:color w:val="1F497D"/>
                <w:sz w:val="22"/>
                <w:szCs w:val="22"/>
              </w:rPr>
              <w:t>CURSO 2025-2026</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spacing w:before="0" w:after="200"/>
              <w:cnfStyle w:val="100000000000" w:firstRow="1" w:lastRow="0" w:firstColumn="0" w:lastColumn="0" w:oddVBand="0" w:evenVBand="0" w:oddHBand="0" w:evenHBand="0" w:firstRowFirstColumn="0" w:firstRowLastColumn="0" w:lastRowFirstColumn="0" w:lastRowLastColumn="0"/>
              <w:rPr>
                <w:rFonts w:ascii="Cambria" w:hAnsi="Cambria"/>
                <w:sz w:val="22"/>
                <w:szCs w:val="22"/>
                <w:u w:val="single"/>
              </w:rPr>
            </w:pPr>
            <w:r>
              <w:rPr>
                <w:rFonts w:ascii="Cambria" w:hAnsi="Cambria"/>
                <w:sz w:val="22"/>
                <w:szCs w:val="22"/>
                <w:u w:val="single"/>
              </w:rPr>
            </w:r>
          </w:p>
        </w:tc>
      </w:tr>
    </w:tbl>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jc w:val="both"/>
        <w:rPr/>
      </w:pPr>
      <w:r>
        <w:br w:type="column"/>
      </w:r>
      <w:r>
        <w:rPr>
          <w:rFonts w:eastAsia="Cambria" w:cs="Cambria"/>
          <w:b/>
          <w:sz w:val="22"/>
          <w:szCs w:val="22"/>
          <w:u w:val="single"/>
        </w:rPr>
        <w:t>ÍNDICE</w:t>
      </w:r>
    </w:p>
    <w:p>
      <w:pPr>
        <w:pStyle w:val="Normal"/>
        <w:jc w:val="both"/>
        <w:rPr/>
      </w:pPr>
      <w:r>
        <w:rPr>
          <w:rFonts w:eastAsia="Cambria" w:cs="Cambria"/>
          <w:sz w:val="22"/>
          <w:szCs w:val="22"/>
        </w:rPr>
        <w:t>INTRODUCCIÓN</w:t>
      </w:r>
    </w:p>
    <w:p>
      <w:pPr>
        <w:pStyle w:val="Normal"/>
        <w:jc w:val="both"/>
        <w:rPr/>
      </w:pPr>
      <w:r>
        <w:rPr>
          <w:rFonts w:eastAsia="Cambria" w:cs="Cambria"/>
          <w:sz w:val="22"/>
          <w:szCs w:val="22"/>
        </w:rPr>
        <w:t>1. COMPETENCIAS ESPECÍFICAS Y CRITERIOS DE EVALUACIÓN ASOCIADOS A ELLAS</w:t>
      </w:r>
    </w:p>
    <w:p>
      <w:pPr>
        <w:pStyle w:val="Normal"/>
        <w:jc w:val="both"/>
        <w:rPr/>
      </w:pPr>
      <w:r>
        <w:rPr>
          <w:rFonts w:eastAsia="Cambria" w:cs="Cambria"/>
          <w:sz w:val="22"/>
          <w:szCs w:val="22"/>
        </w:rPr>
        <w:t>2. CONCRECIÓN, AGRUPAMIENTO Y SECUENCIACIÓN DE LOS SABERES BÁSICOS Y DE LOS CRITERIOS DE EVALUACIÓN EN UNIDADES DIDÁCTICAS</w:t>
      </w:r>
    </w:p>
    <w:p>
      <w:pPr>
        <w:pStyle w:val="Normal"/>
        <w:jc w:val="both"/>
        <w:rPr/>
      </w:pPr>
      <w:r>
        <w:rPr>
          <w:rFonts w:eastAsia="Cambria" w:cs="Cambria"/>
          <w:sz w:val="22"/>
          <w:szCs w:val="22"/>
        </w:rPr>
        <w:t>3. PROCEDIMIENTOS E INSTRUMENTOS DE EVALUACIÓN</w:t>
      </w:r>
    </w:p>
    <w:p>
      <w:pPr>
        <w:pStyle w:val="Normal"/>
        <w:jc w:val="both"/>
        <w:rPr/>
      </w:pPr>
      <w:r>
        <w:rPr>
          <w:rFonts w:eastAsia="Cambria" w:cs="Cambria"/>
          <w:sz w:val="22"/>
          <w:szCs w:val="22"/>
        </w:rPr>
        <w:t xml:space="preserve">4. CRITERIOS DE CALIFICACIÓN Y RELACIÓN CON CRITERIOS DE EVALUACIÓN </w:t>
      </w:r>
    </w:p>
    <w:p>
      <w:pPr>
        <w:pStyle w:val="Normal"/>
        <w:jc w:val="both"/>
        <w:rPr/>
      </w:pPr>
      <w:r>
        <w:rPr>
          <w:rFonts w:eastAsia="Cambria" w:cs="Cambria"/>
          <w:sz w:val="22"/>
          <w:szCs w:val="22"/>
        </w:rPr>
        <w:t>5. EVALUACIÓN INICIAL</w:t>
      </w:r>
    </w:p>
    <w:p>
      <w:pPr>
        <w:pStyle w:val="Normal"/>
        <w:jc w:val="both"/>
        <w:rPr/>
      </w:pPr>
      <w:r>
        <w:rPr>
          <w:rFonts w:eastAsia="Cambria" w:cs="Cambria"/>
          <w:sz w:val="22"/>
          <w:szCs w:val="22"/>
        </w:rPr>
        <w:t xml:space="preserve">6. ACTUACIONES GENERALES DE ATENCIÓN A LAS DIFERENCIAS INDIVIDUALES Y ADAPTACIONES CURRICULARES </w:t>
      </w:r>
    </w:p>
    <w:p>
      <w:pPr>
        <w:pStyle w:val="Normal"/>
        <w:jc w:val="both"/>
        <w:rPr/>
      </w:pPr>
      <w:r>
        <w:rPr>
          <w:rFonts w:eastAsia="Cambria" w:cs="Cambria"/>
          <w:sz w:val="22"/>
          <w:szCs w:val="22"/>
        </w:rPr>
        <w:t>7. PLAN DE SEGUIMIENTO PARA EL ALUMNADO QUE NO HA PROMOCIONADO</w:t>
      </w:r>
    </w:p>
    <w:p>
      <w:pPr>
        <w:pStyle w:val="Normal"/>
        <w:jc w:val="both"/>
        <w:rPr/>
      </w:pPr>
      <w:r>
        <w:rPr>
          <w:rFonts w:eastAsia="Cambria" w:cs="Cambria"/>
          <w:sz w:val="22"/>
          <w:szCs w:val="22"/>
        </w:rPr>
        <w:t>8. PLAN DE REFUERZO PARA MATERIAS O ÁMBITOS NO SUPERADOS</w:t>
      </w:r>
    </w:p>
    <w:p>
      <w:pPr>
        <w:pStyle w:val="Normal"/>
        <w:jc w:val="both"/>
        <w:rPr/>
      </w:pPr>
      <w:r>
        <w:rPr>
          <w:rFonts w:eastAsia="Cambria" w:cs="Cambria"/>
          <w:sz w:val="22"/>
          <w:szCs w:val="22"/>
        </w:rPr>
        <w:t>9. ESTRATEGIAS DIDÁCTICAS Y METODOLÓGICAS</w:t>
      </w:r>
    </w:p>
    <w:p>
      <w:pPr>
        <w:pStyle w:val="Normal"/>
        <w:jc w:val="both"/>
        <w:rPr/>
      </w:pPr>
      <w:r>
        <w:rPr>
          <w:rFonts w:eastAsia="Cambria" w:cs="Cambria"/>
          <w:sz w:val="22"/>
          <w:szCs w:val="22"/>
        </w:rPr>
        <w:t>10. CONCRECIÓN DEL PLAN LECTOR</w:t>
      </w:r>
    </w:p>
    <w:p>
      <w:pPr>
        <w:pStyle w:val="Normal"/>
        <w:jc w:val="both"/>
        <w:rPr/>
      </w:pPr>
      <w:r>
        <w:rPr>
          <w:rFonts w:eastAsia="Cambria" w:cs="Cambria"/>
          <w:sz w:val="22"/>
          <w:szCs w:val="22"/>
        </w:rPr>
        <w:t>11. CONCRECIÓN DEL PLAN DE IMPLEMENTACIÓN DE ELEMENTOS TRANSVERSALES</w:t>
      </w:r>
    </w:p>
    <w:p>
      <w:pPr>
        <w:pStyle w:val="Normal"/>
        <w:jc w:val="both"/>
        <w:rPr/>
      </w:pPr>
      <w:r>
        <w:rPr>
          <w:rFonts w:eastAsia="Cambria" w:cs="Cambria"/>
          <w:sz w:val="22"/>
          <w:szCs w:val="22"/>
        </w:rPr>
        <w:t xml:space="preserve">12. CONCRECIÓN DEL PLAN DE UTILIZACIÓN DE LAS TECNOLOGÍAS DIGITALES </w:t>
      </w:r>
    </w:p>
    <w:p>
      <w:pPr>
        <w:pStyle w:val="Normal"/>
        <w:jc w:val="both"/>
        <w:rPr/>
      </w:pPr>
      <w:r>
        <w:rPr>
          <w:rFonts w:eastAsia="Cambria" w:cs="Cambria"/>
          <w:sz w:val="22"/>
          <w:szCs w:val="22"/>
        </w:rPr>
        <w:t>13. EN SU CASO, MEDIDAS COMPLEMENTARIAS QUE SE PLANTEAN PARA EL TRATAMIENTO DE LAS MATERIAS DENTRO DEL PROYECTO BILINGÜE</w:t>
      </w:r>
    </w:p>
    <w:p>
      <w:pPr>
        <w:pStyle w:val="Normal"/>
        <w:jc w:val="both"/>
        <w:rPr/>
      </w:pPr>
      <w:r>
        <w:rPr>
          <w:rFonts w:eastAsia="Cambria" w:cs="Cambria"/>
          <w:sz w:val="22"/>
          <w:szCs w:val="22"/>
        </w:rPr>
        <w:t>14. MECANISMOS DE REVISIÓN, EVALUACIÓN Y MODIFICACIÓN DE LAS PROGRAMACIONES DIDÁCTICAS</w:t>
      </w:r>
    </w:p>
    <w:p>
      <w:pPr>
        <w:pStyle w:val="Normal"/>
        <w:jc w:val="both"/>
        <w:rPr/>
      </w:pPr>
      <w:r>
        <w:rPr>
          <w:rFonts w:eastAsia="Cambria" w:cs="Cambria"/>
          <w:sz w:val="22"/>
          <w:szCs w:val="22"/>
        </w:rPr>
        <w:t>15. ACTIVIDADES COMPLEMENTARIAS Y EXTRAESCOLARES</w:t>
      </w:r>
    </w:p>
    <w:p>
      <w:pPr>
        <w:pStyle w:val="Normal"/>
        <w:jc w:val="both"/>
        <w:rPr/>
      </w:pPr>
      <w:r>
        <w:rPr>
          <w:rFonts w:eastAsia="Cambria" w:cs="Cambria"/>
          <w:smallCaps/>
          <w:sz w:val="22"/>
          <w:szCs w:val="22"/>
        </w:rPr>
        <w:t>16. FORMA EN LA QUE SE DAN A CONOCER LOS ASPECTOS RELEVANTES DE ESTA PROGRAMACIÓN AL ALUMNADO Y LAS FAMILIAS</w:t>
      </w:r>
    </w:p>
    <w:p>
      <w:pPr>
        <w:pStyle w:val="Normal"/>
        <w:jc w:val="both"/>
        <w:rPr/>
      </w:pPr>
      <w:r>
        <w:rPr>
          <w:rFonts w:eastAsia="Cambria" w:cs="Cambria"/>
          <w:sz w:val="22"/>
          <w:szCs w:val="22"/>
        </w:rPr>
        <w:t>17. OTRAS CONSIDERACIONES</w:t>
      </w:r>
    </w:p>
    <w:p>
      <w:pPr>
        <w:pStyle w:val="Normal"/>
        <w:jc w:val="both"/>
        <w:rPr/>
      </w:pPr>
      <w:r>
        <w:br w:type="column"/>
      </w:r>
      <w:r>
        <w:rPr>
          <w:rFonts w:eastAsia="Cambria" w:cs="Cambria"/>
          <w:b/>
          <w:sz w:val="22"/>
          <w:szCs w:val="22"/>
          <w:u w:val="single"/>
        </w:rPr>
        <w:t>INTRODUCCIÓN</w:t>
      </w:r>
    </w:p>
    <w:p>
      <w:pPr>
        <w:pStyle w:val="Normal"/>
        <w:jc w:val="both"/>
        <w:rPr/>
      </w:pPr>
      <w:r>
        <w:rPr>
          <w:rFonts w:eastAsia="Cambria" w:cs="Cambria"/>
          <w:sz w:val="22"/>
          <w:szCs w:val="22"/>
        </w:rPr>
        <w:t>Programación Didáctica de la materia Física y química perteneciente al tercer curso de ESO.</w:t>
      </w:r>
    </w:p>
    <w:p>
      <w:pPr>
        <w:pStyle w:val="Normal"/>
        <w:jc w:val="both"/>
        <w:rPr/>
      </w:pPr>
      <w:r>
        <w:rPr>
          <w:rFonts w:eastAsia="Cambria" w:cs="Cambria"/>
          <w:sz w:val="22"/>
          <w:szCs w:val="22"/>
        </w:rPr>
        <w:t>La normativa básica para la elaboración de esta programación es:</w:t>
      </w:r>
    </w:p>
    <w:p>
      <w:pPr>
        <w:pStyle w:val="Normal"/>
        <w:numPr>
          <w:ilvl w:val="0"/>
          <w:numId w:val="1"/>
        </w:numPr>
        <w:jc w:val="both"/>
        <w:rPr/>
      </w:pPr>
      <w:r>
        <w:rPr>
          <w:rFonts w:eastAsia="Cambria" w:cs="Cambria"/>
          <w:i/>
          <w:sz w:val="22"/>
          <w:szCs w:val="22"/>
        </w:rPr>
        <w:t>Orden de 18 de mayo de 2015, de la Consejera de Educación, Universidad, Cultura y Deporte, por la que se aprueban las Instrucciones que regulan la organización y el funcionamiento de los Institutos de Educación Secundaria de la Comunidad Autónoma de Aragón, modificada por Orden ECD/779/2016, de 11 de julio.</w:t>
      </w:r>
    </w:p>
    <w:p>
      <w:pPr>
        <w:pStyle w:val="Normal"/>
        <w:numPr>
          <w:ilvl w:val="0"/>
          <w:numId w:val="1"/>
        </w:numPr>
        <w:jc w:val="both"/>
        <w:rPr/>
      </w:pPr>
      <w:r>
        <w:rPr>
          <w:rFonts w:eastAsia="Cambria" w:cs="Cambria"/>
          <w:i/>
          <w:sz w:val="22"/>
          <w:szCs w:val="22"/>
        </w:rPr>
        <w:t>Orden ECD/1172/2022, de 2 de agosto, por la que se aprueban el currículo y las características de la evaluación de Educación Secundaria Obligatoria y se autoriza su aplicación en los centros docentes de la Comunidad Autónoma de Aragón.</w:t>
      </w:r>
    </w:p>
    <w:p>
      <w:pPr>
        <w:pStyle w:val="Normal"/>
        <w:jc w:val="both"/>
        <w:rPr/>
      </w:pPr>
      <w:r>
        <w:rPr>
          <w:rFonts w:eastAsia="Cambria" w:cs="Cambria"/>
          <w:b/>
          <w:sz w:val="22"/>
          <w:szCs w:val="22"/>
          <w:u w:val="single"/>
        </w:rPr>
        <w:t>1. COMPETENCIAS ESPECÍFICAS Y CRITERIOS DE EVALUACIÓN ASOCIADOS A ELLAS</w:t>
      </w:r>
    </w:p>
    <w:p>
      <w:pPr>
        <w:pStyle w:val="Normal"/>
        <w:jc w:val="both"/>
        <w:rPr/>
      </w:pPr>
      <w:r>
        <w:rPr>
          <w:rFonts w:eastAsia="Cambria" w:cs="Cambria"/>
          <w:sz w:val="22"/>
          <w:szCs w:val="22"/>
        </w:rPr>
        <w:t>Tal y como establece la Orden ECD/1172/2022, las competencias específicas de la materia de Física y Química y su relación con los criterios de evaluación de 3º de ESO son las siguientes:</w:t>
      </w:r>
    </w:p>
    <w:tbl>
      <w:tblPr>
        <w:tblStyle w:val="Tablaconcuadrcula"/>
        <w:tblW w:w="9923" w:type="dxa"/>
        <w:jc w:val="center"/>
        <w:tblInd w:w="0" w:type="dxa"/>
        <w:tblCellMar>
          <w:top w:w="0" w:type="dxa"/>
          <w:left w:w="108" w:type="dxa"/>
          <w:bottom w:w="0" w:type="dxa"/>
          <w:right w:w="108" w:type="dxa"/>
        </w:tblCellMar>
        <w:tblLook w:firstRow="1" w:noVBand="1" w:lastRow="0" w:firstColumn="1" w:lastColumn="0" w:noHBand="0" w:val="04a0"/>
      </w:tblPr>
      <w:tblGrid>
        <w:gridCol w:w="4957"/>
        <w:gridCol w:w="4965"/>
      </w:tblGrid>
      <w:tr>
        <w:trPr/>
        <w:tc>
          <w:tcPr>
            <w:tcW w:w="9922" w:type="dxa"/>
            <w:gridSpan w:val="2"/>
            <w:tcBorders/>
            <w:shd w:color="auto" w:fill="92CDDC" w:themeFill="accent5" w:themeFillTint="9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b/>
                <w:color w:val="auto"/>
                <w:sz w:val="22"/>
                <w:szCs w:val="22"/>
                <w:lang w:eastAsia="en-US"/>
              </w:rPr>
              <w:t>CE.FQ.1</w:t>
            </w:r>
          </w:p>
        </w:tc>
      </w:tr>
      <w:tr>
        <w:trPr/>
        <w:tc>
          <w:tcPr>
            <w:tcW w:w="9922" w:type="dxa"/>
            <w:gridSpan w:val="2"/>
            <w:tcBorders/>
            <w:shd w:color="auto" w:fill="DBE5F1" w:themeFill="accent1" w:themeFillTint="33"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Comprender y relacionar los motivos por los que ocurren los principales fenómenos fisicoquímicos del entorno y explicarlos en términos de las leyes y teorías científicas adecuadas para resolver problemas con el fin de aplicarlas para mejorar la realidad cercana y la calidad de vida humana.</w:t>
            </w:r>
          </w:p>
        </w:tc>
      </w:tr>
      <w:tr>
        <w:trPr/>
        <w:tc>
          <w:tcPr>
            <w:tcW w:w="9922" w:type="dxa"/>
            <w:gridSpan w:val="2"/>
            <w:tcBorders/>
            <w:shd w:color="auto" w:fill="auto"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La valoración del grado de adquisición de esta competencia específica se realizará a través del planteamiento de situaciones problema en las que se deban aplicar las leyes y teorías científicas adecuadas, partiendo en los primeros cursos de situaciones simples que se resuelvan de forma directa y sencilla, para ir presentando a lo largo de la etapa situaciones más complejas y cercanas a la realidad que requieran relacionar diferentes conocimientos para su resolución. Se valorará el rigor en los planteamientos y desarrollos, especialmente en el razonamiento de los procedimientos evitando la aplicación mecánica de fórmulas y la presentación adecuada de los resultados utilizando las unidades de medida adecuadas.</w:t>
            </w:r>
          </w:p>
        </w:tc>
      </w:tr>
      <w:tr>
        <w:trPr/>
        <w:tc>
          <w:tcPr>
            <w:tcW w:w="4957"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1.1. Identificar, comprender y explicar los fenómenos fisicoquímicos cotidianos más relevantes a partir de los principios, teorías y leyes científicas adecuadas, expresándolos, de manera argumentada, utilizando diversidad de soportes y medios de comunicación.</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1.2. Resolver los problemas fisicoquímicos planteados utilizando las leyes y teorías científicas adecuadas, razonando los procedimientos utilizados para encontrar las soluciones y expresando adecuadamente los resultados.</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p>
        </w:tc>
        <w:tc>
          <w:tcPr>
            <w:tcW w:w="4965"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1.1. Comprender y explicar con rigor los fenómenos fisicoquímicos cotidianos a partir de los principios, teorías y leyes científicas adecuadas, expresándolos de manera argumentada, utilizando diversidad de soportes y medios de comunicación.</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1.2. Resolver problemas fisicoquímicos planteados mediante las leyes y teorías científicas adecuadas, razonando los procedimientos utilizados para encontrar las soluciones y expresando los resultados con corrección y precisión.</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1.3. Reconocer y describir situaciones problemáticas reales de índole científica y emprender iniciativas colaborativas en las que la ciencia, y en particular la física y la química, pueden contribuir a su solución, analizando críticamente su impacto en la sociedad y el medio ambiente.</w:t>
            </w:r>
          </w:p>
        </w:tc>
      </w:tr>
      <w:tr>
        <w:trPr/>
        <w:tc>
          <w:tcPr>
            <w:tcW w:w="9922" w:type="dxa"/>
            <w:gridSpan w:val="2"/>
            <w:tcBorders/>
            <w:shd w:color="auto" w:fill="92CDDC" w:themeFill="accent5" w:themeFillTint="9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b/>
                <w:color w:val="auto"/>
                <w:sz w:val="22"/>
                <w:szCs w:val="22"/>
                <w:lang w:eastAsia="en-US"/>
              </w:rPr>
              <w:t>CE.FQ.2</w:t>
            </w:r>
          </w:p>
        </w:tc>
      </w:tr>
      <w:tr>
        <w:trPr/>
        <w:tc>
          <w:tcPr>
            <w:tcW w:w="9922" w:type="dxa"/>
            <w:gridSpan w:val="2"/>
            <w:tcBorders/>
            <w:shd w:color="auto" w:fill="DBE5F1" w:themeFill="accent1" w:themeFillTint="33"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Expresar las observaciones realizadas por el alumnado en forma de preguntas, formular hipótesis para explicarlas y demostrar dichas hipótesis a través de la experimentación científica, la indagación y la búsqueda de evidencias, para desarrollar los razonamientos propios del pensamiento científico y mejorar las destrezas en el uso de las metodologías científicas.</w:t>
            </w:r>
          </w:p>
        </w:tc>
      </w:tr>
      <w:tr>
        <w:trPr/>
        <w:tc>
          <w:tcPr>
            <w:tcW w:w="9922" w:type="dxa"/>
            <w:gridSpan w:val="2"/>
            <w:tcBorders/>
            <w:shd w:color="auto" w:fill="auto"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Las metodologías de trabajo en la Ciencia que se plantean en esta competencia específica han mostrado su valor para el avance del conocimiento científico. Se valorará la adquisición de destrezas propias del trabajo científico a partir del planteamiento de situaciones en las que el alumnado deba poner en práctica estas metodologías, identificando cuestiones investigables, planteando hipótesis, diseñando experimentos sencillos para comprobar estas hipótesis y deduciendo de forma razonada conclusiones basándose en las evidencias disponibles. Se comprobará que el alumnado progresa a lo largo de la etapa de acuerdo con la evolución de sus mayores destrezas, especialmente las relacionadas con la capacidad de razonamiento y el de uso de las herramientas matemáticas.</w:t>
            </w:r>
          </w:p>
        </w:tc>
      </w:tr>
      <w:tr>
        <w:trPr/>
        <w:tc>
          <w:tcPr>
            <w:tcW w:w="4957"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2.1. Emplear las metodologías propias de la ciencia en la identificación y descripción de fenómenos a partir de cuestiones a las que se pueda dar respuesta a través de la indagación, la deducción, el trabajo experimental y el razonamiento lógico-matemático, diferenciándolas de aquellas pseudocientíficas que no admiten comprobación experimental.</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2.2. Seleccionar, de acuerdo con la naturaleza de las cuestiones que se traten, la mejor manera de comprobar o refutar las hipótesis formuladas, diseñando estrategias de indagación y búsqueda de evidencias que permitan obtener conclusiones y respuestas ajustadas a la naturaleza de la pregunta formulada.</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2.3. Aplicar las leyes y teorías científicas conocidas al formular cuestiones e hipótesis, siendo coherente con el conocimiento científico existente y diseñando los procedimientos experimentales o deductivos necesarios para resolverlas o comprobarlas.</w:t>
            </w:r>
          </w:p>
        </w:tc>
        <w:tc>
          <w:tcPr>
            <w:tcW w:w="4965"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2.1. Emplear las metodologías propias de la ciencia en la identificación y descripción de  fenómenos científicos a partir de situaciones tanto observadas en el mundo natural como planteadas a través de enunciados con información textual, gráfica o numérica.</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2.2. Predecir, para las cuestiones planteadas, respuestas que se puedan comprobar con las herramientas y conocimientos adquiridos, tanto de forma experimental como deductiva, aplicando el razonamiento lógico-matemático en su proceso de validación.</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2.3. Aplicar las leyes y teorías científicas más importantes para validar hipótesis de manera informada y coherente con el conocimiento científico existente, diseñando los procedimientos experimentales o deductivos necesarios para resolverlas y analizar los resultados críticamente.</w:t>
            </w:r>
          </w:p>
        </w:tc>
      </w:tr>
      <w:tr>
        <w:trPr/>
        <w:tc>
          <w:tcPr>
            <w:tcW w:w="9922" w:type="dxa"/>
            <w:gridSpan w:val="2"/>
            <w:tcBorders/>
            <w:shd w:color="auto" w:fill="92CDDC" w:themeFill="accent5" w:themeFillTint="9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b/>
                <w:color w:val="auto"/>
                <w:sz w:val="22"/>
                <w:szCs w:val="22"/>
                <w:lang w:eastAsia="en-US"/>
              </w:rPr>
              <w:t>CE.FQ.3</w:t>
            </w:r>
          </w:p>
        </w:tc>
      </w:tr>
      <w:tr>
        <w:trPr/>
        <w:tc>
          <w:tcPr>
            <w:tcW w:w="9922" w:type="dxa"/>
            <w:gridSpan w:val="2"/>
            <w:tcBorders/>
            <w:shd w:color="auto" w:fill="DBE5F1" w:themeFill="accent1" w:themeFillTint="33"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(textos, enunciados, tablas, gráficas, informes, manuales, diagramas, fórmulas, esquemas, modelos, símbolos, etc.), para reconocer el carácter universal y transversal del lenguaje científico y la necesidad de una comunicación fiable en investigación y ciencia entre diferentes países y culturas.</w:t>
            </w:r>
          </w:p>
        </w:tc>
      </w:tr>
      <w:tr>
        <w:trPr/>
        <w:tc>
          <w:tcPr>
            <w:tcW w:w="9922" w:type="dxa"/>
            <w:gridSpan w:val="2"/>
            <w:tcBorders/>
            <w:shd w:color="auto" w:fill="auto"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En un mundo globalizado, el uso de estándares es fundamental para el entendimiento y la colaboración que requiere el progreso científico. El alumnado deberá conocer las bases de los lenguajes utilizados en la Ciencia y demostrar que sabe utilizarlos de forma contextualizada. Para ello han de presentarse la información en diferentes formatos que será capaz de interpretar, primero de forma directa y limitando la información a la estrictamente necesaria, para progresivamente plantear situaciones en las que el alumnado demuestre que es capaz de seleccionar la información relevante y utilizarla de acuerdo con las reglas básicas tanto en el desarrollo de la resolución de problemas, como en la comunicación de los resultados.</w:t>
            </w:r>
          </w:p>
        </w:tc>
      </w:tr>
      <w:tr>
        <w:trPr/>
        <w:tc>
          <w:tcPr>
            <w:tcW w:w="4957"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3.1. Emplear datos en diferentes formatos para interpretar y comunicar información relativa a un proceso fisicoquímico concreto, relacionando entre sí lo que cada uno de ellos contiene, y extrayendo en cada caso lo más relevante para la resolución de un problema.</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3.2. Utilizar adecuadamente las reglas básicas de la física y la química, incluyendo el uso de unidades de medida, las herramientas matemáticas y las reglas de nomenclatura, consiguiendo una comunicación efectiva con toda la comunidad científica.</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3.3. Poner en práctica las normas de uso de los espacios específicos de la ciencia, como el laboratorio de Física y Química, asegurando la salud propia y colectiva, la conservación sostenible del medio ambiente y el cuidado de las instalaciones.</w:t>
            </w:r>
          </w:p>
        </w:tc>
        <w:tc>
          <w:tcPr>
            <w:tcW w:w="4965"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3.1. Emplear fuentes variadas, fiables y seguras para seleccionar, interpretar, organizar y comunicar información relativa a un proceso fisicoquímico concreto, relacionando entre sí lo que cada una de ellas contiene, extrayendo en cada caso lo más relevante para la resolución de un problema y desechando todo lo que sea irrelevante.</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3.2. Utilizar adecuadamente las reglas básicas de la física y la química, incluyendo el uso correcto de varios sistemas de unidades, las herramientas matemáticas necesarias y las reglas de nomenclatura avanzadas, consiguiendo una comunicación efectiva con toda la comunidad científica.</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3.3. Aplicar con rigor las normas de uso de los espacios específicos de la ciencia, como el laboratorio de Física y Química, asegurando la salud propia y colectiva, la conservación sostenible del medio ambiente y el cuidado por las instalaciones.</w:t>
            </w:r>
          </w:p>
        </w:tc>
      </w:tr>
      <w:tr>
        <w:trPr/>
        <w:tc>
          <w:tcPr>
            <w:tcW w:w="9922" w:type="dxa"/>
            <w:gridSpan w:val="2"/>
            <w:tcBorders/>
            <w:shd w:color="auto" w:fill="92CDDC" w:themeFill="accent5" w:themeFillTint="9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b/>
                <w:color w:val="auto"/>
                <w:sz w:val="22"/>
                <w:szCs w:val="22"/>
                <w:lang w:eastAsia="en-US"/>
              </w:rPr>
              <w:t>CE.FQ.4</w:t>
            </w:r>
          </w:p>
        </w:tc>
      </w:tr>
      <w:tr>
        <w:trPr/>
        <w:tc>
          <w:tcPr>
            <w:tcW w:w="9922" w:type="dxa"/>
            <w:gridSpan w:val="2"/>
            <w:tcBorders/>
            <w:shd w:color="auto" w:fill="DBE5F1" w:themeFill="accent1" w:themeFillTint="33"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Utilizar de forma crítica, eficiente y segura plataformas digitales y recursos variados, tanto para el trabajo individual como en equipo, para fomentar la creatividad, el desarrollo personal y el aprendizaje individual y social, mediante la consulta de información, la creación de materiales y la comunicación efectiva en los diferentes entornos de aprendizaje.</w:t>
            </w:r>
          </w:p>
        </w:tc>
      </w:tr>
      <w:tr>
        <w:trPr/>
        <w:tc>
          <w:tcPr>
            <w:tcW w:w="9922" w:type="dxa"/>
            <w:gridSpan w:val="2"/>
            <w:tcBorders/>
            <w:shd w:color="auto" w:fill="auto"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El desarrollo de la Competencia Digital sigue siendo esencial en esta etapa de Secundaria por lo que se aborda como competencia transversal y debería estar adquirida al final de la enseñanza obligatoria. Durante toda la Secundaria, en el área de Física y Química, se permite al alumnado conocer las fuentes de información y las aplicaciones informáticas para analizar el entorno que le rodea. En este área, el alumnado también podrá desarrollar destrezas necesarias para acceder a la información, procesarla y usarla para comunicarse de manera responsable, diseñar y crear contenidos, y resolver los problemas reales de un modo eficiente. Se pretende enriquecer las actividades de trabajo colaborativo entre el alumnado aumentando su curiosidad científica y su motivación por el aprendizaje sin olvidar el respeto a los principios éticos de uso y el conocimiento de sus derechos y libertades en el mundo digital.</w:t>
            </w:r>
          </w:p>
        </w:tc>
      </w:tr>
      <w:tr>
        <w:trPr/>
        <w:tc>
          <w:tcPr>
            <w:tcW w:w="4957"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4.1. Utilizar recursos variados, tradicionales y digitales, mejorando el aprendizaje autónomo y la interacción con otros miembros de la comunidad educativa, con respeto hacia docentes y estudiantes y analizando críticamente las aportaciones de cada participante.</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4.2. Trabajar de forma adecuada con medios variados, tradicionales y digitales, en la consulta de información y la creación de contenidos, seleccionando con criterio las fuentes más fiables y desechando las menos adecuadas y mejorando el aprendizaje propio y colectivo.</w:t>
            </w:r>
          </w:p>
        </w:tc>
        <w:tc>
          <w:tcPr>
            <w:tcW w:w="4965"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4.1. Utilizar de forma eficiente recursos variados, tradicionales y digitales, mejorando el aprendizaje autónomo y la interacción con otros miembros de la comunidad educativa, de forma rigurosa y respetuosa y analizando críticamente las aportaciones de todos.</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4.2. Trabajar de forma versátil con medios variados, tradicionales y digitales, en la consulta de información y la creación de contenidos, seleccionando y empleando con criterio las fuentes y herramientas más fiables, desechando las menos adecuadas y mejorando el aprendizaje propio y colectivo.</w:t>
            </w:r>
          </w:p>
        </w:tc>
      </w:tr>
      <w:tr>
        <w:trPr/>
        <w:tc>
          <w:tcPr>
            <w:tcW w:w="9922" w:type="dxa"/>
            <w:gridSpan w:val="2"/>
            <w:tcBorders/>
            <w:shd w:color="auto" w:fill="92CDDC" w:themeFill="accent5" w:themeFillTint="9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b/>
                <w:color w:val="auto"/>
                <w:sz w:val="22"/>
                <w:szCs w:val="22"/>
                <w:lang w:eastAsia="en-US"/>
              </w:rPr>
              <w:t>CE.FQ.5</w:t>
            </w:r>
          </w:p>
        </w:tc>
      </w:tr>
      <w:tr>
        <w:trPr/>
        <w:tc>
          <w:tcPr>
            <w:tcW w:w="9922" w:type="dxa"/>
            <w:gridSpan w:val="2"/>
            <w:tcBorders/>
            <w:shd w:color="auto" w:fill="DBE5F1" w:themeFill="accent1" w:themeFillTint="33"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Utilizar las estrategias propias del trabajo colaborativo que permitan potenciar el crecimiento entre iguales como base emprendedora de una comunidad científica crítica, ética y eficiente, para comprender la importancia de la ciencia en la mejora de la sociedad, las aplicaciones y repercusiones de los avances científicos, la preservación de la salud y la conservación sostenible del medio ambiente.</w:t>
            </w:r>
          </w:p>
        </w:tc>
      </w:tr>
      <w:tr>
        <w:trPr/>
        <w:tc>
          <w:tcPr>
            <w:tcW w:w="9922" w:type="dxa"/>
            <w:gridSpan w:val="2"/>
            <w:tcBorders/>
            <w:shd w:color="auto" w:fill="auto"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El trabajo colaborativo es una metodología educativa que promueve el aprendizaje centrado en el alumno y basado en el trabajo en grupos pequeños, en los que el alumnado con diferente nivel de habilidad utiliza una variedad de actividades de aprendizaje para mejorar su entendimiento. Se trata de fomentar las interacciones constructivas entre los alumnos del equipo presentando situaciones relacionadas con diferentes ámbitos de la ciencia que les facilite aparecer como sujetos activos de su propio proceso de aprendizaje. Todo ello se llevará a cabo desde la garantía de la equidad entre mujeres y hombres, fomentando así la coeducación y disfrutando de la riqueza que ofrece la variedad. Asimismo, es necesario que el alumnado sea capaz de iniciar y llevar a cabo proyectos de carácter científico que tengan como base fundamental la metodología impartida. Todos ellos, deben de presentar un carácter integrador para que el alumno se implique en la mejora y enriquecimiento del ámbito social, fomentando así el aprendizaje significativo, y a su vez se reconozca y se reafirme la utilidad que poseen los resultados para el individuo como ser y como sociedad en continuo cambio. Concretamente, en 2º y 3º de la ESO, el alumnado debe de ser guiado a lo largo de la elaboración de los proyectos, brindándoles todo tipo de pautas para que en todo momento su trabajo esté encaminado hacia el producto final. Sin embargo, en 4º de la ESO, se considera que los alumnos deben comenzar a desarrollar estrategias de autonomía y emprendimiento, de tal manera que se fomente la autodisciplina, la creatividad y el compromiso, entre otros, pero siempre considerando al profesorado como guía principal.</w:t>
            </w:r>
          </w:p>
        </w:tc>
      </w:tr>
      <w:tr>
        <w:trPr/>
        <w:tc>
          <w:tcPr>
            <w:tcW w:w="4957"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5.1. Establecer interacciones constructivas y coeducativas, emprendiendo actividades de cooperación como forma de construir un medio de trabajo eficiente en la ciencia.</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5.2. Emprender, de forma guiada y de acuerdo a la metodología adecuada, proyectos científicos que involucren al alumnado en la mejora de la sociedad y que creen valor para el individuo y para la comunidad.</w:t>
            </w:r>
          </w:p>
        </w:tc>
        <w:tc>
          <w:tcPr>
            <w:tcW w:w="4965"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5.1. Establecer interacciones constructivas y coeducativas, emprendiendo actividades de cooperación e iniciando el uso de las estrategias propias del trabajo colaborativo, como forma de construir un medio de trabajo eficiente en la ciencia.</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5.2. Emprender, de forma autónoma y de acuerdo a la metodología adecuada, proyectos científicos que involucren al alumnado en la mejora de la sociedad y que creen valor para el individuo y para la comunidad.</w:t>
            </w:r>
          </w:p>
        </w:tc>
      </w:tr>
      <w:tr>
        <w:trPr/>
        <w:tc>
          <w:tcPr>
            <w:tcW w:w="9922" w:type="dxa"/>
            <w:gridSpan w:val="2"/>
            <w:tcBorders/>
            <w:shd w:color="auto" w:fill="92CDDC" w:themeFill="accent5" w:themeFillTint="9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b/>
                <w:color w:val="auto"/>
                <w:sz w:val="22"/>
                <w:szCs w:val="22"/>
                <w:lang w:eastAsia="en-US"/>
              </w:rPr>
              <w:t>CE.FQ.6</w:t>
            </w:r>
          </w:p>
        </w:tc>
      </w:tr>
      <w:tr>
        <w:trPr/>
        <w:tc>
          <w:tcPr>
            <w:tcW w:w="9922" w:type="dxa"/>
            <w:gridSpan w:val="2"/>
            <w:tcBorders/>
            <w:shd w:color="auto" w:fill="DBE5F1" w:themeFill="accent1" w:themeFillTint="33"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Comprender y valorar la ciencia como una construcción colectiva en continuo cambio y evolución, en la que no solo participan las personas dedicadas a la ciencia, sino que también requiere de una interacción con el resto de la sociedad, para obtener resultados que repercutan en el avance tecnológico, económico, ambiental y social.</w:t>
            </w:r>
          </w:p>
        </w:tc>
      </w:tr>
      <w:tr>
        <w:trPr/>
        <w:tc>
          <w:tcPr>
            <w:tcW w:w="9922" w:type="dxa"/>
            <w:gridSpan w:val="2"/>
            <w:tcBorders/>
            <w:shd w:color="auto" w:fill="auto"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Se considera que el alumnado debe entender el concepto de ciencia vinculado a la sociedad, no como algo estático, sino como una constante evolución que a su vez es inherente al ser humano. En ella, la participación de los profesionales de la ciencia es tan importante como la propia interacción que ellos mismos deben llevar a cabo con la sociedad. En consecuencia, los resultados obtenidos, trascenderán de manera directa en el progreso de los diferentes ámbitos propios de la colectividad. Es esencial que el alumnado trabaje mediante un proceso de reconocimiento y valoración de los aspectos históricos más relevantes llevados a cabo por hombres y mujeres, así como el progreso de los mismos, teniendo también en cuenta los contextos contemporáneos. Algunos aspectos a considerar son: los límites de la ciencia, las cuestiones éticas y la confianza en los científicos y en su actividad. Considerar la ciencia además de como una evolución, como una constante construcción que lleva a cabo una influencia recíproca entre la ciencia coetánea, la tecnología, la comunidad y el medio ambiente. Además, el alumnado debe descubrir y analizar las necesidades existentes en nuestra actualidad, para conocer todas las posibilidades de acción que tiene la ciencia para solventar las mismas de manera sostenible y llevada a cabo mediante la implicación de la comunidad. Concretamente, en 4º de la ESO, es necesario que este análisis sea realizado y estudiado de manera global.</w:t>
            </w:r>
          </w:p>
        </w:tc>
      </w:tr>
      <w:tr>
        <w:trPr/>
        <w:tc>
          <w:tcPr>
            <w:tcW w:w="4957"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6.2. Detectar en el entorno las necesidades tecnológicas, ambientales, económicas y sociales más importantes que demanda la sociedad, entendiendo la capacidad de la ciencia para darles solución sostenible a través de la implicación de toda la ciudadanía.</w:t>
            </w:r>
          </w:p>
        </w:tc>
        <w:tc>
          <w:tcPr>
            <w:tcW w:w="4965"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6.1. Reconocer y valorar, a través del análisis histórico de los avances científicos logrados por mujeres y hombres, así como de situaciones y contextos actuales (líneas de investigación, instituciones científicas, etc.), que la ciencia es un proceso en permanente construcción y las repercusiones e implicaciones sociales, económicas y medioambientales de la ciencia actual en la sociedad.</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6.2. Detectar las necesidades tecnológicas, ambientales, económicas y sociales más importantes que demanda la sociedad, entendiendo la capacidad de la ciencia para darles solución sostenible a través de la implicación de toda la ciudadanía.</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pPr>
      <w:r>
        <w:rPr>
          <w:rFonts w:eastAsia="Cambria" w:cs="Cambria"/>
          <w:b/>
          <w:sz w:val="22"/>
          <w:szCs w:val="22"/>
          <w:u w:val="single"/>
        </w:rPr>
        <w:t>2. CONCRECIÓN, AGRUPAMIENTO Y SECUENCIACIÓN DE LOS SABERES BÁSICOS Y DE LOS CRITERIOS DE EVALUACIÓN EN UNIDADES DIDÁCTICAS</w:t>
      </w:r>
    </w:p>
    <w:p>
      <w:pPr>
        <w:pStyle w:val="Normal"/>
        <w:ind w:firstLine="284"/>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cs="Cambria"/>
          <w:sz w:val="22"/>
          <w:szCs w:val="22"/>
        </w:rPr>
        <w:t xml:space="preserve">La concreción de los saberes básicos y de los criterios de evaluación en las diferentes unidades didácticas se muestra en las siguientes tablas: </w:t>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libri" w:hAnsi="Calibri" w:eastAsia="Cambria" w:cs="Cambria"/>
          <w:b/>
          <w:b/>
          <w:sz w:val="22"/>
          <w:szCs w:val="22"/>
          <w:u w:val="single"/>
        </w:rPr>
      </w:pPr>
      <w:r>
        <w:rPr>
          <w:rFonts w:eastAsia="Cambria" w:cs="Cambria"/>
          <w:b/>
          <w:sz w:val="22"/>
          <w:szCs w:val="22"/>
          <w:u w:val="single"/>
        </w:rPr>
      </w:r>
    </w:p>
    <w:tbl>
      <w:tblPr>
        <w:tblW w:w="9185" w:type="dxa"/>
        <w:jc w:val="left"/>
        <w:tblInd w:w="-7" w:type="dxa"/>
        <w:tblCellMar>
          <w:top w:w="144" w:type="dxa"/>
          <w:left w:w="144" w:type="dxa"/>
          <w:bottom w:w="144" w:type="dxa"/>
          <w:right w:w="144" w:type="dxa"/>
        </w:tblCellMar>
        <w:tblLook w:firstRow="0" w:noVBand="1" w:lastRow="0" w:firstColumn="0" w:lastColumn="0" w:noHBand="1" w:val="0600"/>
      </w:tblPr>
      <w:tblGrid>
        <w:gridCol w:w="2355"/>
        <w:gridCol w:w="2457"/>
        <w:gridCol w:w="2266"/>
        <w:gridCol w:w="10"/>
        <w:gridCol w:w="2096"/>
      </w:tblGrid>
      <w:tr>
        <w:trPr>
          <w:trHeight w:val="262" w:hRule="atLeast"/>
        </w:trPr>
        <w:tc>
          <w:tcPr>
            <w:tcW w:w="7088"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pPr>
            <w:r>
              <w:rPr>
                <w:rFonts w:eastAsia="Arial Narrow" w:cs="Calibri" w:cstheme="minorHAnsi"/>
                <w:b/>
                <w:bCs/>
                <w:color w:val="000000"/>
                <w:sz w:val="22"/>
                <w:szCs w:val="22"/>
              </w:rPr>
              <w:t>UD 1: LA CIENCIA Y LA MEDIDA</w:t>
            </w:r>
          </w:p>
        </w:tc>
        <w:tc>
          <w:tcPr>
            <w:tcW w:w="2096"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255" w:hRule="atLeast"/>
        </w:trPr>
        <w:tc>
          <w:tcPr>
            <w:tcW w:w="7088"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pPr>
            <w:r>
              <w:rPr>
                <w:rFonts w:eastAsia="Arial Narrow" w:cs="Calibri" w:cstheme="minorHAnsi"/>
                <w:b/>
                <w:bCs/>
                <w:color w:val="000000"/>
                <w:sz w:val="22"/>
                <w:szCs w:val="22"/>
              </w:rPr>
              <w:t>EVALUACIÓN: 1ª</w:t>
            </w:r>
          </w:p>
        </w:tc>
        <w:tc>
          <w:tcPr>
            <w:tcW w:w="2096"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944" w:hRule="atLeast"/>
        </w:trPr>
        <w:tc>
          <w:tcPr>
            <w:tcW w:w="2355"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Competencias específicas</w:t>
            </w:r>
          </w:p>
        </w:tc>
        <w:tc>
          <w:tcPr>
            <w:tcW w:w="2457"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Criterios de evaluación</w:t>
            </w:r>
          </w:p>
        </w:tc>
        <w:tc>
          <w:tcPr>
            <w:tcW w:w="2266"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Concreción de los criterios de evaluación</w:t>
            </w:r>
          </w:p>
        </w:tc>
        <w:tc>
          <w:tcPr>
            <w:tcW w:w="2106" w:type="dxa"/>
            <w:gridSpan w:val="2"/>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Descriptores del perfil de salida</w:t>
            </w:r>
          </w:p>
        </w:tc>
      </w:tr>
      <w:tr>
        <w:trPr>
          <w:trHeight w:val="2465" w:hRule="atLeast"/>
        </w:trPr>
        <w:tc>
          <w:tcPr>
            <w:tcW w:w="2355"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eastAsia="Arial Narrow" w:cs="Calibri" w:cstheme="minorHAnsi"/>
                <w:b/>
                <w:color w:val="000000"/>
                <w:sz w:val="22"/>
                <w:szCs w:val="22"/>
              </w:rPr>
              <w:t>CE FQ 1.</w:t>
            </w:r>
            <w:r>
              <w:rPr>
                <w:rFonts w:eastAsia="Arial Narrow" w:cs="Calibri" w:cstheme="minorHAnsi"/>
                <w:color w:val="000000"/>
                <w:sz w:val="22"/>
                <w:szCs w:val="22"/>
              </w:rPr>
              <w:t xml:space="preserve"> </w:t>
            </w:r>
            <w:r>
              <w:rPr>
                <w:rFonts w:cs="Calibri" w:cstheme="minorHAnsi"/>
                <w:sz w:val="22"/>
                <w:szCs w:val="22"/>
              </w:rPr>
              <w:t>Comprender y relacionar los motivos por los que ocurren los principales fenómenos fisicoquímicos del entorno y explicarlos en términos de las leyes y teorías científicas adecuadas para resolver problemas con el fin de aplicarlas para mejorar la realidad cercana y la calidad de vida humana.</w:t>
            </w:r>
          </w:p>
        </w:tc>
        <w:tc>
          <w:tcPr>
            <w:tcW w:w="2457"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cs="Calibri" w:cstheme="minorHAnsi"/>
                <w:sz w:val="22"/>
                <w:szCs w:val="22"/>
              </w:rPr>
              <w:t>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p>
        </w:tc>
        <w:tc>
          <w:tcPr>
            <w:tcW w:w="2266"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Arial Narrow" w:cs="Calibri" w:cstheme="minorHAnsi"/>
                <w:bCs/>
                <w:color w:val="000000"/>
                <w:sz w:val="22"/>
                <w:szCs w:val="22"/>
              </w:rPr>
              <w:t>1.3.1. Comprender que la Física y la Química pueden ser herramientas útiles para resolver problemas reales.</w:t>
            </w:r>
          </w:p>
        </w:tc>
        <w:tc>
          <w:tcPr>
            <w:tcW w:w="2106"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cs="Calibri" w:cstheme="minorHAnsi"/>
                <w:sz w:val="22"/>
                <w:szCs w:val="22"/>
                <w:lang w:val="en-GB"/>
              </w:rPr>
              <w:t>CCL1, STEM1, STEM2, STEM4, CPSAA4.</w:t>
            </w:r>
          </w:p>
        </w:tc>
      </w:tr>
      <w:tr>
        <w:trPr>
          <w:trHeight w:val="2465" w:hRule="atLeast"/>
        </w:trPr>
        <w:tc>
          <w:tcPr>
            <w:tcW w:w="2355" w:type="dxa"/>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pPr>
            <w:r>
              <w:rPr>
                <w:rFonts w:cs="Calibri" w:cstheme="minorHAnsi"/>
                <w:b/>
                <w:sz w:val="22"/>
                <w:szCs w:val="22"/>
              </w:rPr>
              <w:t>CE.FQ.2.</w:t>
            </w:r>
            <w:r>
              <w:rPr>
                <w:rFonts w:cs="Calibri" w:cstheme="minorHAnsi"/>
                <w:sz w:val="22"/>
                <w:szCs w:val="22"/>
              </w:rPr>
              <w:t xml:space="preserve"> Expresar las observaciones realizadas por el alumnado en forma de preguntas, formulando hipótesis para explicarlas y demostrando dichas hipótesis a través de la experimentación científica, la indagación y la búsqueda de evidencias, para desarrollar los razonamientos propios del pensamiento científico y mejorar las destrezas en el uso de las metodologías científicas.</w:t>
            </w:r>
          </w:p>
        </w:tc>
        <w:tc>
          <w:tcPr>
            <w:tcW w:w="2457"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2.1. Emplear las metodologías propias de la ciencia en la identificación y descripción de fenómenos a partir de cuestiones a las que se pueda dar respuesta a través de la indagación, la deducción, el trabajo experimental y el razonamiento lógico-matemático, diferenciándolas de aquellas pseudocientíficas que no admiten comprobación experimental.</w:t>
            </w:r>
          </w:p>
          <w:p>
            <w:pPr>
              <w:pStyle w:val="Normal"/>
              <w:spacing w:lineRule="auto" w:line="240" w:before="0" w:after="0"/>
              <w:rPr>
                <w:rFonts w:ascii="Calibri" w:hAnsi="Calibri" w:cs="Calibri" w:cstheme="minorHAnsi"/>
                <w:sz w:val="22"/>
                <w:szCs w:val="22"/>
              </w:rPr>
            </w:pPr>
            <w:r>
              <w:rPr>
                <w:rFonts w:cs="Calibri" w:cstheme="minorHAnsi"/>
                <w:sz w:val="22"/>
                <w:szCs w:val="22"/>
              </w:rPr>
            </w:r>
          </w:p>
        </w:tc>
        <w:tc>
          <w:tcPr>
            <w:tcW w:w="2266"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Arial Narrow" w:cs="Calibri" w:cstheme="minorHAnsi"/>
                <w:bCs/>
                <w:color w:val="000000"/>
                <w:sz w:val="22"/>
                <w:szCs w:val="22"/>
              </w:rPr>
              <w:t>2.1.1. Diferenciar entre ciencias y pseudociencias gracias a la comprobación experimental de las hipótesis.</w:t>
            </w:r>
          </w:p>
        </w:tc>
        <w:tc>
          <w:tcPr>
            <w:tcW w:w="2106" w:type="dxa"/>
            <w:gridSpan w:val="2"/>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pPr>
            <w:r>
              <w:rPr>
                <w:rFonts w:cs="Calibri" w:cstheme="minorHAnsi"/>
                <w:sz w:val="22"/>
                <w:szCs w:val="22"/>
                <w:lang w:val="en-GB"/>
              </w:rPr>
              <w:t>CCL1, CCL3, STEM1, STEM2, CD1, CPSAA4, CE1, CCEC3.</w:t>
            </w:r>
          </w:p>
        </w:tc>
      </w:tr>
      <w:tr>
        <w:trPr>
          <w:trHeight w:val="262" w:hRule="atLeast"/>
        </w:trPr>
        <w:tc>
          <w:tcPr>
            <w:tcW w:w="2355" w:type="dxa"/>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Arial Narrow" w:cs="Calibri" w:cstheme="minorHAnsi"/>
                <w:color w:val="000000"/>
                <w:sz w:val="22"/>
                <w:szCs w:val="22"/>
                <w:lang w:val="en-GB"/>
              </w:rPr>
            </w:pPr>
            <w:r>
              <w:rPr>
                <w:rFonts w:eastAsia="Arial Narrow" w:cs="Calibri" w:cstheme="minorHAnsi"/>
                <w:color w:val="000000"/>
                <w:sz w:val="22"/>
                <w:szCs w:val="22"/>
                <w:lang w:val="en-GB"/>
              </w:rPr>
            </w:r>
          </w:p>
        </w:tc>
        <w:tc>
          <w:tcPr>
            <w:tcW w:w="2457"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2.2. Seleccionar, de acuerdo con la naturaleza de las cuestiones que se traten, la mejor manera de comprobar o refutar las hipótesis formuladas, diseñando estrategias de indagación y búsqueda de evidencias que permitan obtener conclusiones y respuestas ajustadas a la naturaleza de la pregunta formulada.</w:t>
            </w:r>
          </w:p>
          <w:p>
            <w:pPr>
              <w:pStyle w:val="Normal"/>
              <w:spacing w:lineRule="auto" w:line="240" w:before="0" w:after="0"/>
              <w:rPr>
                <w:rFonts w:ascii="Calibri" w:hAnsi="Calibri" w:cs="Calibri" w:cstheme="minorHAnsi"/>
                <w:sz w:val="22"/>
                <w:szCs w:val="22"/>
              </w:rPr>
            </w:pPr>
            <w:r>
              <w:rPr>
                <w:rFonts w:cs="Calibri" w:cstheme="minorHAnsi"/>
                <w:sz w:val="22"/>
                <w:szCs w:val="22"/>
              </w:rPr>
            </w:r>
          </w:p>
        </w:tc>
        <w:tc>
          <w:tcPr>
            <w:tcW w:w="2266"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Arial Narrow" w:cs="Calibri" w:cstheme="minorHAnsi"/>
                <w:bCs/>
                <w:color w:val="000000"/>
                <w:sz w:val="22"/>
                <w:szCs w:val="22"/>
              </w:rPr>
              <w:t>2.2.1. Conocer las etapas del método científico y aplicarlo como herramienta para resolver problemas reales.</w:t>
            </w:r>
          </w:p>
        </w:tc>
        <w:tc>
          <w:tcPr>
            <w:tcW w:w="2106" w:type="dxa"/>
            <w:gridSpan w:val="2"/>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cstheme="minorHAnsi"/>
                <w:sz w:val="22"/>
                <w:szCs w:val="22"/>
              </w:rPr>
            </w:pPr>
            <w:r>
              <w:rPr>
                <w:rFonts w:cs="Calibri" w:cstheme="minorHAnsi"/>
                <w:sz w:val="22"/>
                <w:szCs w:val="22"/>
              </w:rPr>
            </w:r>
          </w:p>
        </w:tc>
      </w:tr>
      <w:tr>
        <w:trPr>
          <w:trHeight w:val="404" w:hRule="atLeast"/>
        </w:trPr>
        <w:tc>
          <w:tcPr>
            <w:tcW w:w="2355"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b/>
                <w:sz w:val="22"/>
                <w:szCs w:val="22"/>
              </w:rPr>
              <w:t>CE.FQ.3.</w:t>
            </w:r>
            <w:r>
              <w:rPr>
                <w:sz w:val="22"/>
                <w:szCs w:val="22"/>
              </w:rPr>
              <w:t xml:space="preserve"> 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para reconocer el carácter universal y transversal del lenguaje científico y la necesidad de una comunicación fiable en investigación y ciencia entre diferentes países y culturas.</w:t>
            </w:r>
          </w:p>
        </w:tc>
        <w:tc>
          <w:tcPr>
            <w:tcW w:w="2457"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3.3. Poner en práctica las normas de uso de los espacios específicos de la ciencia, como el laboratorio de Física y Química, asegurando la salud propia y colectiva, la conservación sostenible del medio ambiente y el cuidado de las instalaciones.</w:t>
            </w:r>
          </w:p>
        </w:tc>
        <w:tc>
          <w:tcPr>
            <w:tcW w:w="2266"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Arial Narrow" w:cs="Calibri" w:cstheme="minorHAnsi"/>
                <w:bCs/>
                <w:color w:val="000000"/>
                <w:sz w:val="22"/>
                <w:szCs w:val="22"/>
              </w:rPr>
              <w:t xml:space="preserve">3.3.1. Conocer las normas de seguridad del laboratorio de Física y química. </w:t>
            </w:r>
          </w:p>
        </w:tc>
        <w:tc>
          <w:tcPr>
            <w:tcW w:w="2106"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sz w:val="22"/>
                <w:szCs w:val="22"/>
                <w:lang w:val="en-GB"/>
              </w:rPr>
              <w:t>STEM4, STEM5, CD3, CPSAA2, CC1, CCEC2, CCEC4.</w:t>
            </w:r>
          </w:p>
        </w:tc>
      </w:tr>
      <w:tr>
        <w:trPr>
          <w:trHeight w:val="334" w:hRule="atLeast"/>
        </w:trPr>
        <w:tc>
          <w:tcPr>
            <w:tcW w:w="7088" w:type="dxa"/>
            <w:gridSpan w:val="4"/>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Saberes básicos</w:t>
            </w:r>
          </w:p>
        </w:tc>
        <w:tc>
          <w:tcPr>
            <w:tcW w:w="2096"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652" w:hRule="atLeast"/>
        </w:trPr>
        <w:tc>
          <w:tcPr>
            <w:tcW w:w="9184" w:type="dxa"/>
            <w:gridSpan w:val="5"/>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both"/>
              <w:rPr/>
            </w:pPr>
            <w:r>
              <w:rPr>
                <w:b/>
                <w:sz w:val="22"/>
                <w:szCs w:val="22"/>
              </w:rPr>
              <w:t>A. Las destrezas científicas básicas.</w:t>
            </w:r>
            <w:r>
              <w:rPr>
                <w:sz w:val="22"/>
                <w:szCs w:val="22"/>
              </w:rPr>
              <w:t xml:space="preserve"> Los procedimientos como la observación, la formulación de hipótesis, la indagación, la experimentación, el uso de herramientas matemáticas sencillas o la extracción de conclusiones basadas en pruebas. Dichos procedimientos pueden abordarse de forma transversal al resto de saberes o a partir de una investigación científica estructurada en el que el alumnado tiene cierta libertad en la toma de decisiones.</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tbl>
      <w:tblPr>
        <w:tblW w:w="9185" w:type="dxa"/>
        <w:jc w:val="left"/>
        <w:tblInd w:w="-7" w:type="dxa"/>
        <w:tblCellMar>
          <w:top w:w="144" w:type="dxa"/>
          <w:left w:w="144" w:type="dxa"/>
          <w:bottom w:w="144" w:type="dxa"/>
          <w:right w:w="144" w:type="dxa"/>
        </w:tblCellMar>
        <w:tblLook w:firstRow="0" w:noVBand="1" w:lastRow="0" w:firstColumn="0" w:lastColumn="0" w:noHBand="1" w:val="0600"/>
      </w:tblPr>
      <w:tblGrid>
        <w:gridCol w:w="2400"/>
        <w:gridCol w:w="2209"/>
        <w:gridCol w:w="2254"/>
        <w:gridCol w:w="2"/>
        <w:gridCol w:w="2319"/>
      </w:tblGrid>
      <w:tr>
        <w:trPr>
          <w:trHeight w:val="408"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pPr>
            <w:r>
              <w:rPr>
                <w:rFonts w:eastAsia="Arial Narrow" w:cs="Calibri" w:cstheme="minorHAnsi"/>
                <w:b/>
                <w:bCs/>
                <w:color w:val="000000"/>
                <w:sz w:val="22"/>
                <w:szCs w:val="22"/>
              </w:rPr>
              <w:t>UD 2: LOS GASES</w:t>
            </w:r>
          </w:p>
        </w:tc>
        <w:tc>
          <w:tcPr>
            <w:tcW w:w="2319"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407"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pPr>
            <w:r>
              <w:rPr>
                <w:rFonts w:eastAsia="Arial Narrow" w:cs="Calibri" w:cstheme="minorHAnsi"/>
                <w:b/>
                <w:bCs/>
                <w:color w:val="000000"/>
                <w:sz w:val="22"/>
                <w:szCs w:val="22"/>
              </w:rPr>
              <w:t>EVALUACIÓN: 1ª</w:t>
            </w:r>
          </w:p>
        </w:tc>
        <w:tc>
          <w:tcPr>
            <w:tcW w:w="2319"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828" w:hRule="atLeast"/>
        </w:trPr>
        <w:tc>
          <w:tcPr>
            <w:tcW w:w="2400"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Competencias específicas</w:t>
            </w:r>
          </w:p>
        </w:tc>
        <w:tc>
          <w:tcPr>
            <w:tcW w:w="220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Criterios de evaluación</w:t>
            </w:r>
          </w:p>
        </w:tc>
        <w:tc>
          <w:tcPr>
            <w:tcW w:w="2254"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Concreción de los criterios de evaluación</w:t>
            </w:r>
          </w:p>
        </w:tc>
        <w:tc>
          <w:tcPr>
            <w:tcW w:w="2321" w:type="dxa"/>
            <w:gridSpan w:val="2"/>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Descriptores del perfil de salida</w:t>
            </w:r>
          </w:p>
        </w:tc>
      </w:tr>
      <w:tr>
        <w:trPr>
          <w:trHeight w:val="2465" w:hRule="atLeast"/>
        </w:trPr>
        <w:tc>
          <w:tcPr>
            <w:tcW w:w="2400" w:type="dxa"/>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pPr>
            <w:r>
              <w:rPr>
                <w:rFonts w:eastAsia="Arial Narrow" w:cs="Calibri" w:cstheme="minorHAnsi"/>
                <w:b/>
                <w:color w:val="000000"/>
                <w:sz w:val="22"/>
                <w:szCs w:val="22"/>
              </w:rPr>
              <w:t>CE.FQ.1.</w:t>
            </w:r>
            <w:r>
              <w:rPr>
                <w:rFonts w:eastAsia="Arial Narrow" w:cs="Calibri" w:cstheme="minorHAnsi"/>
                <w:color w:val="000000"/>
                <w:sz w:val="22"/>
                <w:szCs w:val="22"/>
              </w:rPr>
              <w:t xml:space="preserve"> </w:t>
            </w:r>
            <w:r>
              <w:rPr>
                <w:rFonts w:cs="Calibri" w:cstheme="minorHAnsi"/>
                <w:sz w:val="22"/>
                <w:szCs w:val="22"/>
              </w:rPr>
              <w:t>Comprender y relacionar los motivos por los que ocurren los principales fenómenos fisicoquímicos del entorno y explicarlos en términos de las leyes y teorías científicas adecuadas para resolver problemas con el fin de aplicarlas para mejorar la realidad cercana y la calidad de vida humana.</w:t>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 xml:space="preserve">1.1. Identificar, comprender y explicar los fenómenos fisicoquímicos cotidianos más relevantes a partir de los principios, teorías y leyes científicas </w:t>
            </w:r>
          </w:p>
          <w:p>
            <w:pPr>
              <w:pStyle w:val="DC1"/>
              <w:jc w:val="left"/>
              <w:rPr/>
            </w:pPr>
            <w:r>
              <w:rPr>
                <w:sz w:val="22"/>
                <w:szCs w:val="22"/>
              </w:rPr>
              <w:t>adecuadas, expresándolos, de manera argumentada, utilizando diversidad de soportes y medios de comunicación.</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Times New Roman" w:cs="Calibri" w:cstheme="minorHAnsi"/>
                <w:color w:val="auto"/>
                <w:sz w:val="22"/>
                <w:szCs w:val="22"/>
              </w:rPr>
              <w:t xml:space="preserve">1.1.1. Expresar fenómenos físicoquímicos a partir de teorías y leyes científicas utilizando diferentes soportes. </w:t>
            </w:r>
          </w:p>
        </w:tc>
        <w:tc>
          <w:tcPr>
            <w:tcW w:w="2321"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cs="Calibri" w:cstheme="minorHAnsi"/>
                <w:sz w:val="22"/>
                <w:szCs w:val="22"/>
                <w:lang w:val="en-GB"/>
              </w:rPr>
              <w:t>CCL1, STEM1, STEM2, STEM4, CPSAA4.</w:t>
            </w:r>
          </w:p>
        </w:tc>
      </w:tr>
      <w:tr>
        <w:trPr>
          <w:trHeight w:val="2388" w:hRule="atLeast"/>
        </w:trPr>
        <w:tc>
          <w:tcPr>
            <w:tcW w:w="2400" w:type="dxa"/>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cstheme="minorHAnsi"/>
                <w:color w:val="auto"/>
                <w:sz w:val="22"/>
                <w:szCs w:val="22"/>
                <w:lang w:val="en-GB"/>
              </w:rPr>
            </w:pPr>
            <w:r>
              <w:rPr>
                <w:rFonts w:eastAsia="Times New Roman" w:cs="Calibri" w:cstheme="minorHAnsi"/>
                <w:color w:val="auto"/>
                <w:sz w:val="22"/>
                <w:szCs w:val="22"/>
                <w:lang w:val="en-GB"/>
              </w:rPr>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1.2. Resolver los problemas fisicoquímicos planteados utilizando las leyes y teorías científicas adecuadas, razonando los procedimientos utilizados para encontrar las soluciones y expresando adecuadamente los resultados.</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Times New Roman" w:cs="Calibri" w:cstheme="minorHAnsi"/>
                <w:color w:val="auto"/>
                <w:sz w:val="22"/>
                <w:szCs w:val="22"/>
              </w:rPr>
              <w:t xml:space="preserve">1. 2. 1. Resolver problemas fisicoquímicos aplicando leyes y teorías científicas expresando adecuadamente los resultados. </w:t>
            </w:r>
          </w:p>
        </w:tc>
        <w:tc>
          <w:tcPr>
            <w:tcW w:w="2321"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cs="Calibri" w:cstheme="minorHAnsi"/>
                <w:sz w:val="22"/>
                <w:szCs w:val="22"/>
                <w:lang w:val="en-GB"/>
              </w:rPr>
              <w:t>CCL1, STEM1, STEM2, STEM4, CPSAA4.</w:t>
            </w:r>
          </w:p>
        </w:tc>
      </w:tr>
      <w:tr>
        <w:trPr>
          <w:trHeight w:val="2465" w:hRule="atLeast"/>
        </w:trPr>
        <w:tc>
          <w:tcPr>
            <w:tcW w:w="2400" w:type="dxa"/>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b/>
                <w:sz w:val="22"/>
                <w:szCs w:val="22"/>
              </w:rPr>
              <w:t>CE.FQ.3.</w:t>
            </w:r>
            <w:r>
              <w:rPr>
                <w:sz w:val="22"/>
                <w:szCs w:val="22"/>
              </w:rPr>
              <w:t xml:space="preserve"> 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para reconocer el carácter universal y transversal del lenguaje científico y la necesidad de una comunicación fiable en investigación y ciencia entre diferentes países y culturas.</w:t>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3.2. Utilizar adecuadamente las reglas básicas de la física y la química, incluyendo el uso de unidades de medida, las herramientas matemáticas y las reglas de nomenclatura, consiguiendo una comunicación efectiva con toda la comunidad científica.</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Arial Narrow" w:cs="Calibri" w:cstheme="minorHAnsi"/>
                <w:bCs/>
                <w:color w:val="000000"/>
                <w:sz w:val="22"/>
                <w:szCs w:val="22"/>
              </w:rPr>
              <w:t xml:space="preserve">3.2.1. Usar correctamente las unidades de medida y las herramientas matemáticas en la resolución de problemas.  </w:t>
            </w:r>
          </w:p>
        </w:tc>
        <w:tc>
          <w:tcPr>
            <w:tcW w:w="2321"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sz w:val="22"/>
                <w:szCs w:val="22"/>
                <w:lang w:val="en-GB"/>
              </w:rPr>
              <w:t>STEM4, STEM5, CD3, CPSAA2, CC1, CCEC2, CCEC4.</w:t>
            </w:r>
          </w:p>
        </w:tc>
      </w:tr>
      <w:tr>
        <w:trPr>
          <w:trHeight w:val="418"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Saberes básicos</w:t>
            </w:r>
          </w:p>
        </w:tc>
        <w:tc>
          <w:tcPr>
            <w:tcW w:w="231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652" w:hRule="atLeast"/>
        </w:trPr>
        <w:tc>
          <w:tcPr>
            <w:tcW w:w="9184" w:type="dxa"/>
            <w:gridSpan w:val="5"/>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eastAsia="Times New Roman" w:cs="Calibri" w:cstheme="minorHAnsi"/>
                <w:b/>
                <w:color w:val="auto"/>
                <w:sz w:val="22"/>
                <w:szCs w:val="22"/>
              </w:rPr>
              <w:t>B. La materia.</w:t>
            </w:r>
            <w:r>
              <w:rPr>
                <w:rFonts w:eastAsia="Times New Roman" w:cs="Calibri" w:cstheme="minorHAnsi"/>
                <w:color w:val="auto"/>
                <w:sz w:val="22"/>
                <w:szCs w:val="22"/>
              </w:rPr>
              <w:t xml:space="preserve"> </w:t>
            </w:r>
            <w:r>
              <w:rPr>
                <w:rFonts w:cs="Calibri" w:cstheme="minorHAnsi"/>
                <w:sz w:val="22"/>
                <w:szCs w:val="22"/>
              </w:rPr>
              <w:t>Las propiedades de la materia justificadas en la teoría cinético-molecular.</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tbl>
      <w:tblPr>
        <w:tblW w:w="9185" w:type="dxa"/>
        <w:jc w:val="left"/>
        <w:tblInd w:w="-7" w:type="dxa"/>
        <w:tblCellMar>
          <w:top w:w="144" w:type="dxa"/>
          <w:left w:w="144" w:type="dxa"/>
          <w:bottom w:w="144" w:type="dxa"/>
          <w:right w:w="144" w:type="dxa"/>
        </w:tblCellMar>
        <w:tblLook w:firstRow="0" w:noVBand="1" w:lastRow="0" w:firstColumn="0" w:lastColumn="0" w:noHBand="1" w:val="0600"/>
      </w:tblPr>
      <w:tblGrid>
        <w:gridCol w:w="2400"/>
        <w:gridCol w:w="2209"/>
        <w:gridCol w:w="2254"/>
        <w:gridCol w:w="2"/>
        <w:gridCol w:w="2319"/>
      </w:tblGrid>
      <w:tr>
        <w:trPr>
          <w:trHeight w:val="545"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pPr>
            <w:r>
              <w:rPr>
                <w:rFonts w:eastAsia="Arial Narrow" w:cs="Calibri" w:cstheme="minorHAnsi"/>
                <w:b/>
                <w:bCs/>
                <w:color w:val="000000"/>
                <w:sz w:val="22"/>
                <w:szCs w:val="22"/>
              </w:rPr>
              <w:t>UD 3: LAS MEZCLAS</w:t>
            </w:r>
          </w:p>
        </w:tc>
        <w:tc>
          <w:tcPr>
            <w:tcW w:w="2319"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414"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pPr>
            <w:r>
              <w:rPr>
                <w:rFonts w:eastAsia="Arial Narrow" w:cs="Calibri" w:cstheme="minorHAnsi"/>
                <w:b/>
                <w:bCs/>
                <w:color w:val="000000"/>
                <w:sz w:val="22"/>
                <w:szCs w:val="22"/>
              </w:rPr>
              <w:t>EVALUACIÓN: 2ª</w:t>
            </w:r>
          </w:p>
        </w:tc>
        <w:tc>
          <w:tcPr>
            <w:tcW w:w="2319"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964" w:hRule="atLeast"/>
        </w:trPr>
        <w:tc>
          <w:tcPr>
            <w:tcW w:w="2400"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Competencias específicas</w:t>
            </w:r>
          </w:p>
        </w:tc>
        <w:tc>
          <w:tcPr>
            <w:tcW w:w="220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Criterios de evaluación</w:t>
            </w:r>
          </w:p>
        </w:tc>
        <w:tc>
          <w:tcPr>
            <w:tcW w:w="2254"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Concreción de los criterios de evaluación</w:t>
            </w:r>
          </w:p>
        </w:tc>
        <w:tc>
          <w:tcPr>
            <w:tcW w:w="2321" w:type="dxa"/>
            <w:gridSpan w:val="2"/>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Descriptores del perfil de salida</w:t>
            </w:r>
          </w:p>
        </w:tc>
      </w:tr>
      <w:tr>
        <w:trPr>
          <w:trHeight w:val="2465" w:hRule="atLeast"/>
        </w:trPr>
        <w:tc>
          <w:tcPr>
            <w:tcW w:w="2400" w:type="dxa"/>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pPr>
            <w:r>
              <w:rPr>
                <w:b/>
                <w:sz w:val="22"/>
                <w:szCs w:val="22"/>
              </w:rPr>
              <w:t>CE.FQ.3.</w:t>
            </w:r>
            <w:r>
              <w:rPr>
                <w:sz w:val="22"/>
                <w:szCs w:val="22"/>
              </w:rPr>
              <w:t xml:space="preserve"> 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para reconocer el carácter universal y transversal del lenguaje científico y la necesidad de una comunicación fiable en investigación y ciencia entre diferentes países y culturas.</w:t>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3.1. Emplear datos en diferentes formatos para interpretar y comunicar información relativa a un proceso fisicoquímico concreto, relacionando entre sí lo que cada uno de ellos contiene, y extrayendo en cada caso lo más relevante para la resolución de un problema.</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Times New Roman" w:cs="Calibri" w:cstheme="minorHAnsi"/>
                <w:color w:val="auto"/>
                <w:sz w:val="22"/>
                <w:szCs w:val="22"/>
              </w:rPr>
              <w:t xml:space="preserve">3.1.1. Extraer información relevante de gráficas y tablas.  </w:t>
            </w:r>
          </w:p>
        </w:tc>
        <w:tc>
          <w:tcPr>
            <w:tcW w:w="2321" w:type="dxa"/>
            <w:gridSpan w:val="2"/>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pPr>
            <w:r>
              <w:rPr>
                <w:sz w:val="22"/>
                <w:szCs w:val="22"/>
                <w:lang w:val="en-GB"/>
              </w:rPr>
              <w:t>STEM4, STEM5, CD3, CPSAA2, CC1, CCEC2, CCEC4.</w:t>
            </w:r>
          </w:p>
        </w:tc>
      </w:tr>
      <w:tr>
        <w:trPr>
          <w:trHeight w:val="2465" w:hRule="atLeast"/>
        </w:trPr>
        <w:tc>
          <w:tcPr>
            <w:tcW w:w="2400" w:type="dxa"/>
            <w:vMerge w:val="continue"/>
            <w:tcBorders>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cstheme="minorHAnsi"/>
                <w:b/>
                <w:b/>
                <w:sz w:val="22"/>
                <w:szCs w:val="22"/>
                <w:lang w:val="en-GB"/>
              </w:rPr>
            </w:pPr>
            <w:r>
              <w:rPr>
                <w:rFonts w:cs="Calibri" w:cstheme="minorHAnsi"/>
                <w:b/>
                <w:sz w:val="22"/>
                <w:szCs w:val="22"/>
                <w:lang w:val="en-GB"/>
              </w:rPr>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3.2. Utilizar adecuadamente las reglas básicas de la física y la química, incluyendo el uso de unidades de medida, las herramientas matemáticas y las reglas de nomenclatura, consiguiendo una comunicación efectiva con toda la comunidad científica.</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Arial Narrow" w:cs="Calibri" w:cstheme="minorHAnsi"/>
                <w:bCs/>
                <w:color w:val="000000"/>
                <w:sz w:val="22"/>
                <w:szCs w:val="22"/>
              </w:rPr>
              <w:t xml:space="preserve">3.2.1. Usar correctamente las unidades de medida y las herramientas matemáticas en la resolución de problemas.  </w:t>
            </w:r>
          </w:p>
        </w:tc>
        <w:tc>
          <w:tcPr>
            <w:tcW w:w="2321" w:type="dxa"/>
            <w:gridSpan w:val="2"/>
            <w:vMerge w:val="continue"/>
            <w:tcBorders>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cstheme="minorHAnsi"/>
                <w:sz w:val="22"/>
                <w:szCs w:val="22"/>
              </w:rPr>
            </w:pPr>
            <w:r>
              <w:rPr>
                <w:rFonts w:cs="Calibri" w:cstheme="minorHAnsi"/>
                <w:sz w:val="22"/>
                <w:szCs w:val="22"/>
              </w:rPr>
            </w:r>
          </w:p>
        </w:tc>
      </w:tr>
      <w:tr>
        <w:trPr>
          <w:trHeight w:val="2465" w:hRule="atLeast"/>
        </w:trPr>
        <w:tc>
          <w:tcPr>
            <w:tcW w:w="2400" w:type="dxa"/>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b/>
                <w:b/>
                <w:sz w:val="22"/>
                <w:szCs w:val="22"/>
              </w:rPr>
            </w:pPr>
            <w:r>
              <w:rPr>
                <w:b/>
                <w:sz w:val="22"/>
                <w:szCs w:val="22"/>
              </w:rPr>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3.3. Poner en práctica las normas de uso de los espacios específicos de la ciencia, como el laboratorio de Física y Química, asegurando la salud propia y colectiva, la conservación sostenible del medio ambiente y el cuidado de las instalaciones.</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Arial Narrow" w:cs="Calibri" w:cstheme="minorHAnsi"/>
                <w:bCs/>
                <w:color w:val="000000"/>
                <w:sz w:val="22"/>
                <w:szCs w:val="22"/>
              </w:rPr>
              <w:t xml:space="preserve">3.3.2. Realizar prácticas de laboratorio respetando las normas de seguridad y cuidando las instalaciones. </w:t>
            </w:r>
          </w:p>
        </w:tc>
        <w:tc>
          <w:tcPr>
            <w:tcW w:w="2321" w:type="dxa"/>
            <w:gridSpan w:val="2"/>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sz w:val="22"/>
                <w:szCs w:val="22"/>
              </w:rPr>
            </w:pPr>
            <w:r>
              <w:rPr>
                <w:sz w:val="22"/>
                <w:szCs w:val="22"/>
              </w:rPr>
            </w:r>
          </w:p>
        </w:tc>
      </w:tr>
      <w:tr>
        <w:trPr>
          <w:trHeight w:val="418"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Saberes básicos</w:t>
            </w:r>
          </w:p>
        </w:tc>
        <w:tc>
          <w:tcPr>
            <w:tcW w:w="231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652" w:hRule="atLeast"/>
        </w:trPr>
        <w:tc>
          <w:tcPr>
            <w:tcW w:w="9184" w:type="dxa"/>
            <w:gridSpan w:val="5"/>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eastAsia="Arial Narrow" w:cs="Calibri" w:cstheme="minorHAnsi"/>
                <w:b/>
                <w:bCs/>
                <w:color w:val="000000"/>
                <w:sz w:val="22"/>
                <w:szCs w:val="22"/>
              </w:rPr>
              <w:t xml:space="preserve">B. La materia. </w:t>
            </w:r>
            <w:r>
              <w:rPr>
                <w:rFonts w:eastAsia="Arial Narrow" w:cs="Calibri" w:cstheme="minorHAnsi"/>
                <w:bCs/>
                <w:color w:val="000000"/>
                <w:sz w:val="22"/>
                <w:szCs w:val="22"/>
              </w:rPr>
              <w:t>Las</w:t>
            </w:r>
            <w:r>
              <w:rPr>
                <w:rFonts w:cs="Calibri" w:cstheme="minorHAnsi"/>
                <w:sz w:val="22"/>
                <w:szCs w:val="22"/>
              </w:rPr>
              <w:t xml:space="preserve"> propiedades de la materia justificadas en la teoría cinético-molecular. La Clasificación y la composición de sistemas materiales.</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tbl>
      <w:tblPr>
        <w:tblW w:w="9185" w:type="dxa"/>
        <w:jc w:val="left"/>
        <w:tblInd w:w="-7" w:type="dxa"/>
        <w:tblCellMar>
          <w:top w:w="144" w:type="dxa"/>
          <w:left w:w="144" w:type="dxa"/>
          <w:bottom w:w="144" w:type="dxa"/>
          <w:right w:w="144" w:type="dxa"/>
        </w:tblCellMar>
        <w:tblLook w:firstRow="0" w:noVBand="1" w:lastRow="0" w:firstColumn="0" w:lastColumn="0" w:noHBand="1" w:val="0600"/>
      </w:tblPr>
      <w:tblGrid>
        <w:gridCol w:w="2399"/>
        <w:gridCol w:w="2219"/>
        <w:gridCol w:w="2250"/>
        <w:gridCol w:w="1"/>
        <w:gridCol w:w="2315"/>
      </w:tblGrid>
      <w:tr>
        <w:trPr>
          <w:trHeight w:val="545" w:hRule="atLeast"/>
        </w:trPr>
        <w:tc>
          <w:tcPr>
            <w:tcW w:w="6869"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pPr>
            <w:r>
              <w:rPr>
                <w:rFonts w:eastAsia="Arial Narrow" w:cs="Calibri" w:cstheme="minorHAnsi"/>
                <w:b/>
                <w:bCs/>
                <w:color w:val="000000"/>
                <w:sz w:val="22"/>
                <w:szCs w:val="22"/>
              </w:rPr>
              <w:t>UD 4: EL ÁTOMO</w:t>
            </w:r>
          </w:p>
        </w:tc>
        <w:tc>
          <w:tcPr>
            <w:tcW w:w="2315"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414" w:hRule="atLeast"/>
        </w:trPr>
        <w:tc>
          <w:tcPr>
            <w:tcW w:w="6869"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pPr>
            <w:r>
              <w:rPr>
                <w:rFonts w:eastAsia="Arial Narrow" w:cs="Calibri" w:cstheme="minorHAnsi"/>
                <w:b/>
                <w:bCs/>
                <w:color w:val="000000"/>
                <w:sz w:val="22"/>
                <w:szCs w:val="22"/>
              </w:rPr>
              <w:t>EVALUACIÓN: 2ª</w:t>
            </w:r>
          </w:p>
        </w:tc>
        <w:tc>
          <w:tcPr>
            <w:tcW w:w="2315"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964" w:hRule="atLeast"/>
        </w:trPr>
        <w:tc>
          <w:tcPr>
            <w:tcW w:w="239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Competencias específicas</w:t>
            </w:r>
          </w:p>
        </w:tc>
        <w:tc>
          <w:tcPr>
            <w:tcW w:w="221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Criterios de evaluación</w:t>
            </w:r>
          </w:p>
        </w:tc>
        <w:tc>
          <w:tcPr>
            <w:tcW w:w="2250"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Concreción de los criterios de evaluación</w:t>
            </w:r>
          </w:p>
        </w:tc>
        <w:tc>
          <w:tcPr>
            <w:tcW w:w="2316" w:type="dxa"/>
            <w:gridSpan w:val="2"/>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Descriptores del perfil de salida</w:t>
            </w:r>
          </w:p>
        </w:tc>
      </w:tr>
      <w:tr>
        <w:trPr>
          <w:trHeight w:val="2465" w:hRule="atLeast"/>
        </w:trPr>
        <w:tc>
          <w:tcPr>
            <w:tcW w:w="2399" w:type="dxa"/>
            <w:vMerge w:val="restart"/>
            <w:tcBorders>
              <w:top w:val="single" w:sz="6" w:space="0" w:color="9E9E9E"/>
              <w:left w:val="single" w:sz="6" w:space="0" w:color="9E9E9E"/>
              <w:right w:val="single" w:sz="6" w:space="0" w:color="9E9E9E"/>
            </w:tcBorders>
            <w:shd w:color="auto" w:fill="auto" w:val="clear"/>
            <w:vAlign w:val="center"/>
          </w:tcPr>
          <w:p>
            <w:pPr>
              <w:pStyle w:val="Normal"/>
              <w:spacing w:before="0" w:after="200"/>
              <w:jc w:val="center"/>
              <w:rPr/>
            </w:pPr>
            <w:r>
              <w:rPr>
                <w:b/>
                <w:sz w:val="22"/>
                <w:szCs w:val="22"/>
              </w:rPr>
              <w:t xml:space="preserve">CE.FQ.4. </w:t>
            </w:r>
            <w:r>
              <w:rPr>
                <w:sz w:val="22"/>
                <w:szCs w:val="22"/>
              </w:rPr>
              <w:t>Utilizar de forma crítica, eficiente y segura plataformas digitales y recursos variados, tanto para el trabajo individual como en equipo, para fomentar la creatividad, el desarrollo personal y el aprendizaje individual y social, mediante la consulta de información, la creación de materiales y la comunicación efectiva en los diferentes entornos de aprendizaje.</w:t>
            </w:r>
          </w:p>
        </w:tc>
        <w:tc>
          <w:tcPr>
            <w:tcW w:w="221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4.1. Utilizar recursos variados, tradicionales y digitales, mejorando el aprendizaje autónomo y la interacción con otros miembros de la comunidad educativa, con respeto hacia docentes y estudiantes y analizando críticamente las aportaciones de cada participante.</w:t>
            </w:r>
          </w:p>
        </w:tc>
        <w:tc>
          <w:tcPr>
            <w:tcW w:w="225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Times New Roman" w:cs="Calibri" w:cstheme="minorHAnsi"/>
                <w:color w:val="auto"/>
                <w:sz w:val="22"/>
                <w:szCs w:val="22"/>
              </w:rPr>
              <w:t xml:space="preserve">4.1.1. Mejorar el aprendizaje autónomo utilizando diferentes recursos. </w:t>
            </w:r>
          </w:p>
        </w:tc>
        <w:tc>
          <w:tcPr>
            <w:tcW w:w="2316" w:type="dxa"/>
            <w:gridSpan w:val="2"/>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pPr>
            <w:r>
              <w:rPr>
                <w:sz w:val="22"/>
                <w:szCs w:val="22"/>
                <w:lang w:val="en-GB"/>
              </w:rPr>
              <w:t>CCL2, CCL3, STEM4, CD1, CD2, CPSAA3, CE3, CCEC4.</w:t>
            </w:r>
          </w:p>
        </w:tc>
      </w:tr>
      <w:tr>
        <w:trPr>
          <w:trHeight w:val="2465" w:hRule="atLeast"/>
        </w:trPr>
        <w:tc>
          <w:tcPr>
            <w:tcW w:w="2399" w:type="dxa"/>
            <w:vMerge w:val="continue"/>
            <w:tcBorders>
              <w:left w:val="single" w:sz="6" w:space="0" w:color="9E9E9E"/>
              <w:bottom w:val="single" w:sz="6" w:space="0" w:color="9E9E9E"/>
              <w:right w:val="single" w:sz="6" w:space="0" w:color="9E9E9E"/>
            </w:tcBorders>
            <w:shd w:color="auto" w:fill="auto" w:val="clear"/>
            <w:vAlign w:val="center"/>
          </w:tcPr>
          <w:p>
            <w:pPr>
              <w:pStyle w:val="Normal"/>
              <w:spacing w:before="0" w:after="200"/>
              <w:jc w:val="center"/>
              <w:rPr>
                <w:rFonts w:ascii="Calibri" w:hAnsi="Calibri"/>
                <w:i/>
                <w:i/>
                <w:sz w:val="22"/>
                <w:szCs w:val="22"/>
                <w:lang w:val="en-GB"/>
              </w:rPr>
            </w:pPr>
            <w:r>
              <w:rPr>
                <w:i/>
                <w:sz w:val="22"/>
                <w:szCs w:val="22"/>
                <w:lang w:val="en-GB"/>
              </w:rPr>
            </w:r>
          </w:p>
        </w:tc>
        <w:tc>
          <w:tcPr>
            <w:tcW w:w="221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4.2. Trabajar de forma adecuada con medios variados, tradicionales y digitales, en la consulta de información y la creación de contenidos, seleccionando con criterio las fuentes más fiables y desechando las menos adecuadas y mejorando el aprendizaje propio y colectivo.</w:t>
            </w:r>
          </w:p>
        </w:tc>
        <w:tc>
          <w:tcPr>
            <w:tcW w:w="225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Times New Roman" w:cs="Calibri" w:cstheme="minorHAnsi"/>
                <w:color w:val="auto"/>
                <w:sz w:val="22"/>
                <w:szCs w:val="22"/>
              </w:rPr>
              <w:t xml:space="preserve">4.2.1. Recopilar información científica de fuentes fiables y organizarla para la creación de contenidos. </w:t>
            </w:r>
          </w:p>
        </w:tc>
        <w:tc>
          <w:tcPr>
            <w:tcW w:w="2316" w:type="dxa"/>
            <w:gridSpan w:val="2"/>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2465" w:hRule="atLeast"/>
        </w:trPr>
        <w:tc>
          <w:tcPr>
            <w:tcW w:w="2399" w:type="dxa"/>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pPr>
            <w:r>
              <w:rPr>
                <w:rFonts w:eastAsia="Times New Roman" w:cs="Calibri" w:cstheme="minorHAnsi"/>
                <w:color w:val="auto"/>
                <w:sz w:val="22"/>
                <w:szCs w:val="22"/>
              </w:rPr>
              <w:t>CE.FQ.6. Comprender y valorar la ciencia como una construcción colectiva en continuo cambio y evolución, en la que no solo participan las personas dedicadas a ella, sino que también requiere de una interacción con el resto de la sociedad, para obtener resultados que repercutan en el avance tecnológico, económico, ambiental y social.</w:t>
            </w:r>
          </w:p>
        </w:tc>
        <w:tc>
          <w:tcPr>
            <w:tcW w:w="221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p>
        </w:tc>
        <w:tc>
          <w:tcPr>
            <w:tcW w:w="225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Times New Roman" w:cs="Calibri" w:cstheme="minorHAnsi"/>
                <w:color w:val="auto"/>
                <w:sz w:val="22"/>
                <w:szCs w:val="22"/>
              </w:rPr>
              <w:t xml:space="preserve">6.1.1. Valorar la aportación de los avances científicos históricos en la sociedad. </w:t>
            </w:r>
          </w:p>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p>
            <w:pPr>
              <w:pStyle w:val="Normal"/>
              <w:spacing w:lineRule="auto" w:line="240" w:before="0" w:after="0"/>
              <w:rPr/>
            </w:pPr>
            <w:r>
              <w:rPr>
                <w:rFonts w:eastAsia="Times New Roman" w:cs="Calibri" w:cstheme="minorHAnsi"/>
                <w:color w:val="auto"/>
                <w:sz w:val="22"/>
                <w:szCs w:val="22"/>
              </w:rPr>
              <w:t>6.1.2. Analizar las relaciones entre ciencia, tecnología y sociedad.</w:t>
            </w:r>
            <w:r>
              <w:rPr>
                <w:rFonts w:eastAsia="Times New Roman" w:cs="Arial"/>
                <w:color w:val="auto"/>
                <w:sz w:val="22"/>
                <w:szCs w:val="22"/>
              </w:rPr>
              <w:t xml:space="preserve"> </w:t>
            </w:r>
          </w:p>
        </w:tc>
        <w:tc>
          <w:tcPr>
            <w:tcW w:w="2316" w:type="dxa"/>
            <w:gridSpan w:val="2"/>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pPr>
            <w:r>
              <w:rPr>
                <w:sz w:val="22"/>
                <w:szCs w:val="22"/>
                <w:lang w:val="en-GB"/>
              </w:rPr>
              <w:t>STEM2, STEM5, CD4, CPSAA1, CPSAA4, CC4, CCEC1.</w:t>
            </w:r>
          </w:p>
        </w:tc>
      </w:tr>
      <w:tr>
        <w:trPr>
          <w:trHeight w:val="2465" w:hRule="atLeast"/>
        </w:trPr>
        <w:tc>
          <w:tcPr>
            <w:tcW w:w="2399" w:type="dxa"/>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Arial"/>
                <w:color w:val="auto"/>
                <w:sz w:val="22"/>
                <w:szCs w:val="22"/>
                <w:lang w:val="en-GB"/>
              </w:rPr>
            </w:pPr>
            <w:r>
              <w:rPr>
                <w:rFonts w:eastAsia="Times New Roman" w:cs="Arial"/>
                <w:color w:val="auto"/>
                <w:sz w:val="22"/>
                <w:szCs w:val="22"/>
                <w:lang w:val="en-GB"/>
              </w:rPr>
            </w:r>
          </w:p>
        </w:tc>
        <w:tc>
          <w:tcPr>
            <w:tcW w:w="221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6.2. Detectar en el entorno las necesidades tecnológicas, ambientales, económicas y sociales más importantes que demanda la sociedad, entendiendo la capacidad de la ciencia para darles solución sostenible a través de la implicación de toda la ciudadanía.</w:t>
            </w:r>
          </w:p>
        </w:tc>
        <w:tc>
          <w:tcPr>
            <w:tcW w:w="225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Times New Roman" w:cs="Calibri" w:cstheme="minorHAnsi"/>
                <w:color w:val="auto"/>
                <w:sz w:val="22"/>
                <w:szCs w:val="22"/>
              </w:rPr>
              <w:t xml:space="preserve">6.2.1. Reconocer las diferentes soluciones que ofrece la ciencia para algunos problemas de la sociedad. </w:t>
            </w:r>
          </w:p>
        </w:tc>
        <w:tc>
          <w:tcPr>
            <w:tcW w:w="2316" w:type="dxa"/>
            <w:gridSpan w:val="2"/>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418" w:hRule="atLeast"/>
        </w:trPr>
        <w:tc>
          <w:tcPr>
            <w:tcW w:w="6869" w:type="dxa"/>
            <w:gridSpan w:val="4"/>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Saberes básicos</w:t>
            </w:r>
          </w:p>
        </w:tc>
        <w:tc>
          <w:tcPr>
            <w:tcW w:w="2315"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652" w:hRule="atLeast"/>
        </w:trPr>
        <w:tc>
          <w:tcPr>
            <w:tcW w:w="9184" w:type="dxa"/>
            <w:gridSpan w:val="5"/>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eastAsia="Times New Roman" w:cs="Calibri" w:cstheme="minorHAnsi"/>
                <w:b/>
                <w:color w:val="auto"/>
                <w:sz w:val="22"/>
                <w:szCs w:val="22"/>
              </w:rPr>
              <w:t>B. La materia.</w:t>
            </w:r>
            <w:r>
              <w:rPr>
                <w:rFonts w:eastAsia="Times New Roman" w:cs="Calibri" w:cstheme="minorHAnsi"/>
                <w:color w:val="auto"/>
                <w:sz w:val="22"/>
                <w:szCs w:val="22"/>
              </w:rPr>
              <w:t xml:space="preserve"> </w:t>
            </w:r>
            <w:r>
              <w:rPr>
                <w:rFonts w:cs="Calibri" w:cstheme="minorHAnsi"/>
                <w:sz w:val="22"/>
                <w:szCs w:val="22"/>
              </w:rPr>
              <w:t>Estructura atómica y naturaleza eléctrica.</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tbl>
      <w:tblPr>
        <w:tblW w:w="9185" w:type="dxa"/>
        <w:jc w:val="left"/>
        <w:tblInd w:w="-7" w:type="dxa"/>
        <w:tblCellMar>
          <w:top w:w="144" w:type="dxa"/>
          <w:left w:w="144" w:type="dxa"/>
          <w:bottom w:w="144" w:type="dxa"/>
          <w:right w:w="144" w:type="dxa"/>
        </w:tblCellMar>
        <w:tblLook w:firstRow="0" w:noVBand="1" w:lastRow="0" w:firstColumn="0" w:lastColumn="0" w:noHBand="1" w:val="0600"/>
      </w:tblPr>
      <w:tblGrid>
        <w:gridCol w:w="2321"/>
        <w:gridCol w:w="2220"/>
        <w:gridCol w:w="2401"/>
        <w:gridCol w:w="7"/>
        <w:gridCol w:w="2235"/>
      </w:tblGrid>
      <w:tr>
        <w:trPr>
          <w:trHeight w:val="545" w:hRule="atLeast"/>
        </w:trPr>
        <w:tc>
          <w:tcPr>
            <w:tcW w:w="6949"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pPr>
            <w:r>
              <w:rPr>
                <w:rFonts w:eastAsia="Arial Narrow" w:cs="Calibri" w:cstheme="minorHAnsi"/>
                <w:b/>
                <w:bCs/>
                <w:color w:val="000000"/>
                <w:sz w:val="22"/>
                <w:szCs w:val="22"/>
              </w:rPr>
              <w:t>UD 5: ELEMENTOS Y COMPUESTOS</w:t>
            </w:r>
          </w:p>
        </w:tc>
        <w:tc>
          <w:tcPr>
            <w:tcW w:w="2235"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414" w:hRule="atLeast"/>
        </w:trPr>
        <w:tc>
          <w:tcPr>
            <w:tcW w:w="6949"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pPr>
            <w:r>
              <w:rPr>
                <w:rFonts w:eastAsia="Arial Narrow" w:cs="Calibri" w:cstheme="minorHAnsi"/>
                <w:b/>
                <w:bCs/>
                <w:color w:val="000000"/>
                <w:sz w:val="22"/>
                <w:szCs w:val="22"/>
              </w:rPr>
              <w:t>EVALUACIÓN: 3ª</w:t>
            </w:r>
          </w:p>
        </w:tc>
        <w:tc>
          <w:tcPr>
            <w:tcW w:w="2235"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964" w:hRule="atLeast"/>
        </w:trPr>
        <w:tc>
          <w:tcPr>
            <w:tcW w:w="2321"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Competencias específicas</w:t>
            </w:r>
          </w:p>
        </w:tc>
        <w:tc>
          <w:tcPr>
            <w:tcW w:w="2220"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Criterios de evaluación</w:t>
            </w:r>
          </w:p>
        </w:tc>
        <w:tc>
          <w:tcPr>
            <w:tcW w:w="2401"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Concreción de los criterios de evaluación</w:t>
            </w:r>
          </w:p>
        </w:tc>
        <w:tc>
          <w:tcPr>
            <w:tcW w:w="2242" w:type="dxa"/>
            <w:gridSpan w:val="2"/>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Descriptores del perfil de salida</w:t>
            </w:r>
          </w:p>
        </w:tc>
      </w:tr>
      <w:tr>
        <w:trPr>
          <w:trHeight w:val="2465" w:hRule="atLeast"/>
        </w:trPr>
        <w:tc>
          <w:tcPr>
            <w:tcW w:w="2321"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b/>
                <w:sz w:val="22"/>
                <w:szCs w:val="22"/>
              </w:rPr>
              <w:t>CE.FQ.3.</w:t>
            </w:r>
            <w:r>
              <w:rPr>
                <w:sz w:val="22"/>
                <w:szCs w:val="22"/>
              </w:rPr>
              <w:t xml:space="preserve"> 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para reconocer el carácter universal y transversal del lenguaje científico y la necesidad de una comunicación fiable en investigación y ciencia entre diferentes países y culturas.</w:t>
            </w:r>
          </w:p>
        </w:tc>
        <w:tc>
          <w:tcPr>
            <w:tcW w:w="222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rPr/>
            </w:pPr>
            <w:r>
              <w:rPr>
                <w:sz w:val="22"/>
                <w:szCs w:val="22"/>
              </w:rPr>
              <w:t>3.2. Utilizar adecuadamente las reglas básicas de la física y la química, incluyendo el uso de unidades de medida, las herramientas matemáticas y las reglas de nomenclatura, consiguiendo una comunicación efectiva con toda la comunidad científica.</w:t>
            </w:r>
          </w:p>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c>
          <w:tcPr>
            <w:tcW w:w="2401"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eastAsia="Times New Roman" w:cs="Calibri" w:cstheme="minorHAnsi"/>
                <w:color w:val="auto"/>
                <w:sz w:val="22"/>
                <w:szCs w:val="22"/>
              </w:rPr>
              <w:t xml:space="preserve">3.2.2. Formular y nombrar compuestos binarios según las reglas de nomenclatura de la IUPAC. </w:t>
            </w:r>
          </w:p>
        </w:tc>
        <w:tc>
          <w:tcPr>
            <w:tcW w:w="2242"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sz w:val="22"/>
                <w:szCs w:val="22"/>
                <w:lang w:val="en-GB"/>
              </w:rPr>
              <w:t>STEM4, STEM5, CD3, CPSAA2, CC1, CCEC2, CCEC4.</w:t>
            </w:r>
          </w:p>
        </w:tc>
      </w:tr>
      <w:tr>
        <w:trPr>
          <w:trHeight w:val="2158" w:hRule="atLeast"/>
        </w:trPr>
        <w:tc>
          <w:tcPr>
            <w:tcW w:w="2321" w:type="dxa"/>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pPr>
            <w:r>
              <w:rPr>
                <w:rFonts w:eastAsia="Times New Roman" w:cs="Calibri" w:cstheme="minorHAnsi"/>
                <w:b/>
                <w:color w:val="auto"/>
                <w:sz w:val="22"/>
                <w:szCs w:val="22"/>
              </w:rPr>
              <w:t>CE.FQ.5.</w:t>
            </w:r>
            <w:r>
              <w:rPr>
                <w:rFonts w:eastAsia="Times New Roman" w:cs="Calibri" w:cstheme="minorHAnsi"/>
                <w:color w:val="auto"/>
                <w:sz w:val="22"/>
                <w:szCs w:val="22"/>
              </w:rPr>
              <w:t xml:space="preserve"> </w:t>
            </w:r>
            <w:r>
              <w:rPr>
                <w:rFonts w:cs="Calibri" w:cstheme="minorHAnsi"/>
                <w:sz w:val="22"/>
                <w:szCs w:val="22"/>
              </w:rPr>
              <w:t>Utilizar las estrategias propias del trabajo colaborativo que permitan potenciar el crecimiento entre iguales como base emprendedora de una comunidad científica crítica, ética y eficiente, para comprender la importancia de la ciencia en la mejora de la sociedad, las aplicaciones y repercusiones de los avances científicos, la preservación de la salud y la conservación sostenible del medio ambiente.</w:t>
            </w:r>
          </w:p>
        </w:tc>
        <w:tc>
          <w:tcPr>
            <w:tcW w:w="222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rPr/>
            </w:pPr>
            <w:r>
              <w:rPr>
                <w:sz w:val="22"/>
                <w:szCs w:val="22"/>
              </w:rPr>
              <w:t>5.1. Establecer interacciones constructivas y coeducativas, emprendiendo actividades de cooperación como forma de construir un medio de trabajo eficiente en la ciencia.</w:t>
            </w:r>
          </w:p>
        </w:tc>
        <w:tc>
          <w:tcPr>
            <w:tcW w:w="2401"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eastAsia="Times New Roman" w:cs="Calibri" w:cstheme="minorHAnsi"/>
                <w:color w:val="auto"/>
                <w:sz w:val="22"/>
                <w:szCs w:val="22"/>
              </w:rPr>
              <w:t xml:space="preserve">5.1.1. Participar en tareas grupales relacionadas con la Tabla Periódica de los elementos. </w:t>
            </w:r>
          </w:p>
        </w:tc>
        <w:tc>
          <w:tcPr>
            <w:tcW w:w="2242" w:type="dxa"/>
            <w:gridSpan w:val="2"/>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pPr>
            <w:r>
              <w:rPr>
                <w:sz w:val="22"/>
                <w:szCs w:val="22"/>
                <w:lang w:val="en-GB"/>
              </w:rPr>
              <w:t>CCL5, CP3, STEM3, STEM5, CD3, CPSAA3, CC3, CE2.</w:t>
            </w:r>
          </w:p>
        </w:tc>
      </w:tr>
      <w:tr>
        <w:trPr>
          <w:trHeight w:val="2065" w:hRule="atLeast"/>
        </w:trPr>
        <w:tc>
          <w:tcPr>
            <w:tcW w:w="2321" w:type="dxa"/>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Arial"/>
                <w:color w:val="auto"/>
                <w:sz w:val="22"/>
                <w:szCs w:val="22"/>
                <w:lang w:val="en-GB"/>
              </w:rPr>
            </w:pPr>
            <w:r>
              <w:rPr>
                <w:rFonts w:eastAsia="Times New Roman" w:cs="Arial"/>
                <w:color w:val="auto"/>
                <w:sz w:val="22"/>
                <w:szCs w:val="22"/>
                <w:lang w:val="en-GB"/>
              </w:rPr>
            </w:r>
          </w:p>
        </w:tc>
        <w:tc>
          <w:tcPr>
            <w:tcW w:w="222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rPr/>
            </w:pPr>
            <w:r>
              <w:rPr>
                <w:sz w:val="22"/>
                <w:szCs w:val="22"/>
              </w:rPr>
              <w:t>5.2. Emprender, de forma guiada y de acuerdo a la metodología adecuada, proyectos científicos que involucren al alumnado en la mejora de la sociedad y que creen valor para el individuo y para la comunidad.</w:t>
            </w:r>
          </w:p>
        </w:tc>
        <w:tc>
          <w:tcPr>
            <w:tcW w:w="2401"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eastAsia="Times New Roman" w:cs="Calibri" w:cstheme="minorHAnsi"/>
                <w:color w:val="auto"/>
                <w:sz w:val="22"/>
                <w:szCs w:val="22"/>
              </w:rPr>
              <w:t xml:space="preserve">5.2.1. Realizar un proyecto científico sobre los elementos químicos y la tabla periódica. </w:t>
            </w:r>
          </w:p>
        </w:tc>
        <w:tc>
          <w:tcPr>
            <w:tcW w:w="2242" w:type="dxa"/>
            <w:gridSpan w:val="2"/>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2065" w:hRule="atLeast"/>
        </w:trPr>
        <w:tc>
          <w:tcPr>
            <w:tcW w:w="2321" w:type="dxa"/>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eastAsia="Times New Roman" w:cs="Calibri" w:cstheme="minorHAnsi"/>
                <w:b/>
                <w:color w:val="auto"/>
                <w:sz w:val="22"/>
                <w:szCs w:val="22"/>
              </w:rPr>
              <w:t>CE.FQ.6.</w:t>
            </w:r>
            <w:r>
              <w:rPr>
                <w:rFonts w:eastAsia="Times New Roman" w:cs="Calibri" w:cstheme="minorHAnsi"/>
                <w:color w:val="auto"/>
                <w:sz w:val="22"/>
                <w:szCs w:val="22"/>
              </w:rPr>
              <w:t xml:space="preserve"> </w:t>
            </w:r>
            <w:r>
              <w:rPr>
                <w:rFonts w:cs="Calibri" w:cstheme="minorHAnsi"/>
                <w:sz w:val="22"/>
                <w:szCs w:val="22"/>
              </w:rPr>
              <w:t>Comprender y valorar la ciencia como una construcción colectiva en continuo cambio y evolución, en la que no solo participan las personas dedicadas a la ciencia, sino que también requiere de una interacción con el resto de la sociedad, para obtener resultados que repercutan en el avance tecnológico, económico, ambiental y social.</w:t>
            </w:r>
          </w:p>
        </w:tc>
        <w:tc>
          <w:tcPr>
            <w:tcW w:w="222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rPr/>
            </w:pPr>
            <w:r>
              <w:rPr>
                <w:sz w:val="22"/>
                <w:szCs w:val="22"/>
              </w:rPr>
              <w:t>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p>
        </w:tc>
        <w:tc>
          <w:tcPr>
            <w:tcW w:w="2401"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Times New Roman" w:cs="Calibri" w:cstheme="minorHAnsi"/>
                <w:color w:val="auto"/>
                <w:sz w:val="22"/>
                <w:szCs w:val="22"/>
              </w:rPr>
              <w:t xml:space="preserve">6.1.1. Valorar la aportación de los avances científicos históricos en la sociedad. </w:t>
            </w:r>
          </w:p>
        </w:tc>
        <w:tc>
          <w:tcPr>
            <w:tcW w:w="2242"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sz w:val="22"/>
                <w:szCs w:val="22"/>
                <w:lang w:val="en-GB"/>
              </w:rPr>
              <w:t>STEM2, STEM5, CD4, CPSAA1, CPSAA4, CC4, CCEC1.</w:t>
            </w:r>
          </w:p>
        </w:tc>
      </w:tr>
      <w:tr>
        <w:trPr>
          <w:trHeight w:val="418" w:hRule="atLeast"/>
        </w:trPr>
        <w:tc>
          <w:tcPr>
            <w:tcW w:w="6949" w:type="dxa"/>
            <w:gridSpan w:val="4"/>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Saberes básicos</w:t>
            </w:r>
          </w:p>
        </w:tc>
        <w:tc>
          <w:tcPr>
            <w:tcW w:w="2235"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652" w:hRule="atLeast"/>
        </w:trPr>
        <w:tc>
          <w:tcPr>
            <w:tcW w:w="9184" w:type="dxa"/>
            <w:gridSpan w:val="5"/>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eastAsia="Times New Roman" w:cs="Calibri" w:cstheme="minorHAnsi"/>
                <w:b/>
                <w:color w:val="auto"/>
                <w:sz w:val="22"/>
                <w:szCs w:val="22"/>
              </w:rPr>
              <w:t>B. La materia.</w:t>
            </w:r>
            <w:r>
              <w:rPr>
                <w:rFonts w:eastAsia="Times New Roman" w:cs="Calibri" w:cstheme="minorHAnsi"/>
                <w:color w:val="auto"/>
                <w:sz w:val="22"/>
                <w:szCs w:val="22"/>
              </w:rPr>
              <w:t xml:space="preserve"> </w:t>
            </w:r>
            <w:r>
              <w:rPr>
                <w:sz w:val="22"/>
                <w:szCs w:val="22"/>
              </w:rPr>
              <w:t>Ordenación de los elementos en la tabla periódica. Compuestos químicos: formación y propiedades. Formulación y nomenclatura utilizando normas IUPAC.</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tbl>
      <w:tblPr>
        <w:tblW w:w="9185" w:type="dxa"/>
        <w:jc w:val="left"/>
        <w:tblInd w:w="-7" w:type="dxa"/>
        <w:tblCellMar>
          <w:top w:w="144" w:type="dxa"/>
          <w:left w:w="144" w:type="dxa"/>
          <w:bottom w:w="144" w:type="dxa"/>
          <w:right w:w="144" w:type="dxa"/>
        </w:tblCellMar>
        <w:tblLook w:firstRow="0" w:noVBand="1" w:lastRow="0" w:firstColumn="0" w:lastColumn="0" w:noHBand="1" w:val="0600"/>
      </w:tblPr>
      <w:tblGrid>
        <w:gridCol w:w="2400"/>
        <w:gridCol w:w="2209"/>
        <w:gridCol w:w="2254"/>
        <w:gridCol w:w="2"/>
        <w:gridCol w:w="2319"/>
      </w:tblGrid>
      <w:tr>
        <w:trPr>
          <w:trHeight w:val="545"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pPr>
            <w:r>
              <w:rPr>
                <w:rFonts w:eastAsia="Arial Narrow" w:cs="Calibri" w:cstheme="minorHAnsi"/>
                <w:b/>
                <w:bCs/>
                <w:color w:val="000000"/>
                <w:sz w:val="22"/>
                <w:szCs w:val="22"/>
              </w:rPr>
              <w:t>UD 6: REACCIONES QUÍMICAS</w:t>
            </w:r>
          </w:p>
        </w:tc>
        <w:tc>
          <w:tcPr>
            <w:tcW w:w="2319"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414"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pPr>
            <w:r>
              <w:rPr>
                <w:rFonts w:eastAsia="Arial Narrow" w:cs="Calibri" w:cstheme="minorHAnsi"/>
                <w:b/>
                <w:bCs/>
                <w:color w:val="000000"/>
                <w:sz w:val="22"/>
                <w:szCs w:val="22"/>
              </w:rPr>
              <w:t>EVALUACIÓN: 3ª</w:t>
            </w:r>
          </w:p>
        </w:tc>
        <w:tc>
          <w:tcPr>
            <w:tcW w:w="2319"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964" w:hRule="atLeast"/>
        </w:trPr>
        <w:tc>
          <w:tcPr>
            <w:tcW w:w="2400"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Competencias específicas</w:t>
            </w:r>
          </w:p>
        </w:tc>
        <w:tc>
          <w:tcPr>
            <w:tcW w:w="220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Criterios de evaluación</w:t>
            </w:r>
          </w:p>
        </w:tc>
        <w:tc>
          <w:tcPr>
            <w:tcW w:w="2254"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Concreción de los criterios de evaluación</w:t>
            </w:r>
          </w:p>
        </w:tc>
        <w:tc>
          <w:tcPr>
            <w:tcW w:w="2321" w:type="dxa"/>
            <w:gridSpan w:val="2"/>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Descriptores del perfil de salida</w:t>
            </w:r>
          </w:p>
        </w:tc>
      </w:tr>
      <w:tr>
        <w:trPr>
          <w:trHeight w:val="2465" w:hRule="atLeast"/>
        </w:trPr>
        <w:tc>
          <w:tcPr>
            <w:tcW w:w="240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cs="Calibri" w:cstheme="minorHAnsi"/>
                <w:b/>
                <w:sz w:val="22"/>
                <w:szCs w:val="22"/>
              </w:rPr>
              <w:t>CE.FQ.2.</w:t>
            </w:r>
            <w:r>
              <w:rPr>
                <w:rFonts w:cs="Calibri" w:cstheme="minorHAnsi"/>
                <w:sz w:val="22"/>
                <w:szCs w:val="22"/>
              </w:rPr>
              <w:t xml:space="preserve"> Expresar las observaciones realizadas por el alumnado en forma de preguntas, formulando hipótesis para explicarlas y demostrando dichas hipótesis a través de la experimentación científica, la indagación y la búsqueda de evidencias, para desarrollar los razonamientos propios del pensamiento científico y mejorar las destrezas en el uso de las metodologías científicas.</w:t>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rPr/>
            </w:pPr>
            <w:r>
              <w:rPr>
                <w:sz w:val="22"/>
                <w:szCs w:val="22"/>
              </w:rPr>
              <w:t>2.3. Aplicar las leyes y teorías científicas conocidas al formular cuestiones e hipótesis, siendo coherente con el conocimiento científico existente y diseñando los procedimientos experimentales o deductivos necesarios para resolverlas o comprobarlas.</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eastAsia="Times New Roman" w:cs="Calibri" w:cstheme="minorHAnsi"/>
                <w:color w:val="auto"/>
                <w:sz w:val="22"/>
                <w:szCs w:val="22"/>
              </w:rPr>
              <w:t xml:space="preserve">2.3.1. </w:t>
            </w:r>
          </w:p>
        </w:tc>
        <w:tc>
          <w:tcPr>
            <w:tcW w:w="2321"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cs="Calibri" w:cstheme="minorHAnsi"/>
                <w:sz w:val="22"/>
                <w:szCs w:val="22"/>
                <w:lang w:val="en-GB"/>
              </w:rPr>
              <w:t>CCL1, CCL3, STEM1, STEM2, CD1, CPSAA4, CE1, CCEC3.</w:t>
            </w:r>
          </w:p>
        </w:tc>
      </w:tr>
      <w:tr>
        <w:trPr>
          <w:trHeight w:val="2465" w:hRule="atLeast"/>
        </w:trPr>
        <w:tc>
          <w:tcPr>
            <w:tcW w:w="2400" w:type="dxa"/>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pPr>
            <w:r>
              <w:rPr>
                <w:b/>
                <w:sz w:val="22"/>
                <w:szCs w:val="22"/>
              </w:rPr>
              <w:t>CE.FQ.3.</w:t>
            </w:r>
            <w:r>
              <w:rPr>
                <w:sz w:val="22"/>
                <w:szCs w:val="22"/>
              </w:rPr>
              <w:t xml:space="preserve"> 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para reconocer el carácter universal y transversal del lenguaje científico y la necesidad de una comunicación fiable en investigación y ciencia entre diferentes países y culturas.</w:t>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3.1. Emplear datos en diferentes formatos para interpretar y comunicar información relativa a un proceso fisicoquímico concreto, relacionando entre sí lo que cada uno de ellos contiene, y extrayendo en cada caso lo más relevante para la resolución de un problema.</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Times New Roman" w:cs="Calibri" w:cstheme="minorHAnsi"/>
                <w:color w:val="auto"/>
                <w:sz w:val="22"/>
                <w:szCs w:val="22"/>
              </w:rPr>
              <w:t xml:space="preserve">3.1.2. Extraer información relevante de ecuaciones químicas y diagramas. </w:t>
            </w:r>
          </w:p>
        </w:tc>
        <w:tc>
          <w:tcPr>
            <w:tcW w:w="2321" w:type="dxa"/>
            <w:gridSpan w:val="2"/>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pPr>
            <w:r>
              <w:rPr>
                <w:sz w:val="22"/>
                <w:szCs w:val="22"/>
                <w:lang w:val="en-GB"/>
              </w:rPr>
              <w:t>STEM4, STEM5, CD3, CPSAA2, CC1, CCEC2, CCEC4.</w:t>
            </w:r>
          </w:p>
        </w:tc>
      </w:tr>
      <w:tr>
        <w:trPr>
          <w:trHeight w:val="2465" w:hRule="atLeast"/>
        </w:trPr>
        <w:tc>
          <w:tcPr>
            <w:tcW w:w="2400" w:type="dxa"/>
            <w:vMerge w:val="continue"/>
            <w:tcBorders>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cstheme="minorHAnsi"/>
                <w:b/>
                <w:b/>
                <w:sz w:val="22"/>
                <w:szCs w:val="22"/>
                <w:lang w:val="en-GB"/>
              </w:rPr>
            </w:pPr>
            <w:r>
              <w:rPr>
                <w:rFonts w:cs="Calibri" w:cstheme="minorHAnsi"/>
                <w:b/>
                <w:sz w:val="22"/>
                <w:szCs w:val="22"/>
                <w:lang w:val="en-GB"/>
              </w:rPr>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3.2. Utilizar adecuadamente las reglas básicas de la física y la química, incluyendo el uso de unidades de medida, las herramientas matemáticas y las reglas de nomenclatura, consiguiendo una comunicación efectiva con toda la comunidad científica.</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Arial Narrow" w:cs="Calibri" w:cstheme="minorHAnsi"/>
                <w:bCs/>
                <w:color w:val="000000"/>
                <w:sz w:val="22"/>
                <w:szCs w:val="22"/>
              </w:rPr>
              <w:t xml:space="preserve">3.2.1. Usar correctamente las unidades de medida y las herramientas matemáticas en la resolución de problemas.  </w:t>
            </w:r>
          </w:p>
        </w:tc>
        <w:tc>
          <w:tcPr>
            <w:tcW w:w="2321" w:type="dxa"/>
            <w:gridSpan w:val="2"/>
            <w:vMerge w:val="continue"/>
            <w:tcBorders>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cstheme="minorHAnsi"/>
                <w:sz w:val="22"/>
                <w:szCs w:val="22"/>
              </w:rPr>
            </w:pPr>
            <w:r>
              <w:rPr>
                <w:rFonts w:cs="Calibri" w:cstheme="minorHAnsi"/>
                <w:sz w:val="22"/>
                <w:szCs w:val="22"/>
              </w:rPr>
            </w:r>
          </w:p>
        </w:tc>
      </w:tr>
      <w:tr>
        <w:trPr>
          <w:trHeight w:val="2465" w:hRule="atLeast"/>
        </w:trPr>
        <w:tc>
          <w:tcPr>
            <w:tcW w:w="2400" w:type="dxa"/>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b/>
                <w:b/>
                <w:sz w:val="22"/>
                <w:szCs w:val="22"/>
              </w:rPr>
            </w:pPr>
            <w:r>
              <w:rPr>
                <w:b/>
                <w:sz w:val="22"/>
                <w:szCs w:val="22"/>
              </w:rPr>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pPr>
            <w:r>
              <w:rPr>
                <w:sz w:val="22"/>
                <w:szCs w:val="22"/>
              </w:rPr>
              <w:t>3.3. Poner en práctica las normas de uso de los espacios específicos de la ciencia, como el laboratorio de Física y Química, asegurando la salud propia y colectiva, la conservación sostenible del medio ambiente y el cuidado de las instalaciones.</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pPr>
            <w:r>
              <w:rPr>
                <w:rFonts w:eastAsia="Arial Narrow" w:cs="Calibri" w:cstheme="minorHAnsi"/>
                <w:bCs/>
                <w:color w:val="000000"/>
                <w:sz w:val="22"/>
                <w:szCs w:val="22"/>
              </w:rPr>
              <w:t xml:space="preserve">3.3.2. Realizar prácticas de laboratorio respetando las normas de seguridad y cuidando las instalaciones. </w:t>
            </w:r>
          </w:p>
        </w:tc>
        <w:tc>
          <w:tcPr>
            <w:tcW w:w="2321" w:type="dxa"/>
            <w:gridSpan w:val="2"/>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cstheme="minorHAnsi"/>
                <w:sz w:val="22"/>
                <w:szCs w:val="22"/>
              </w:rPr>
            </w:pPr>
            <w:r>
              <w:rPr>
                <w:rFonts w:cs="Calibri" w:cstheme="minorHAnsi"/>
                <w:sz w:val="22"/>
                <w:szCs w:val="22"/>
              </w:rPr>
            </w:r>
          </w:p>
        </w:tc>
      </w:tr>
      <w:tr>
        <w:trPr>
          <w:trHeight w:val="418"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pPr>
            <w:r>
              <w:rPr>
                <w:rFonts w:eastAsia="Arial Narrow" w:cs="Calibri" w:cstheme="minorHAnsi"/>
                <w:b/>
                <w:bCs/>
                <w:color w:val="000000"/>
                <w:sz w:val="22"/>
                <w:szCs w:val="22"/>
              </w:rPr>
              <w:t>Saberes básicos</w:t>
            </w:r>
          </w:p>
        </w:tc>
        <w:tc>
          <w:tcPr>
            <w:tcW w:w="231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652" w:hRule="atLeast"/>
        </w:trPr>
        <w:tc>
          <w:tcPr>
            <w:tcW w:w="9184" w:type="dxa"/>
            <w:gridSpan w:val="5"/>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pPr>
            <w:r>
              <w:rPr>
                <w:rFonts w:eastAsia="Times New Roman" w:cs="Calibri" w:cstheme="minorHAnsi"/>
                <w:b/>
                <w:color w:val="auto"/>
                <w:sz w:val="22"/>
                <w:szCs w:val="22"/>
              </w:rPr>
              <w:t>E. El cambio.</w:t>
            </w:r>
            <w:r>
              <w:rPr>
                <w:rFonts w:eastAsia="Times New Roman" w:cs="Calibri" w:cstheme="minorHAnsi"/>
                <w:color w:val="auto"/>
                <w:sz w:val="22"/>
                <w:szCs w:val="22"/>
              </w:rPr>
              <w:t xml:space="preserve"> </w:t>
            </w:r>
            <w:r>
              <w:rPr>
                <w:rFonts w:cs="Calibri" w:cstheme="minorHAnsi"/>
                <w:color w:val="000000"/>
                <w:sz w:val="22"/>
                <w:szCs w:val="22"/>
              </w:rPr>
              <w:t>Este bloque aborda los diferentes cambios de los sistemas materiales a nivel macroscópico y microscópico, analizando los aspectos energéticos y las leyes que los rigen.</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pPr>
      <w:r>
        <w:rPr>
          <w:rFonts w:eastAsia="Cambria" w:cs="Cambria"/>
          <w:b/>
          <w:sz w:val="22"/>
          <w:szCs w:val="22"/>
          <w:u w:val="single"/>
        </w:rPr>
        <w:t>3. PROCEDIMIENTOS E INSTRUMENTOS DE EVALUACIÓN</w:t>
      </w:r>
    </w:p>
    <w:p>
      <w:pPr>
        <w:pStyle w:val="Cuerpodetexto"/>
        <w:jc w:val="both"/>
        <w:rPr/>
      </w:pPr>
      <w:bookmarkStart w:id="3" w:name="docs-internal-guid-a050135c-7fff-6dd4-d8"/>
      <w:bookmarkEnd w:id="3"/>
      <w:r>
        <w:rPr>
          <w:rFonts w:ascii="Cambria" w:hAnsi="Cambria" w:asciiTheme="majorHAnsi" w:hAnsiTheme="majorHAnsi"/>
          <w:b w:val="false"/>
          <w:bCs/>
          <w:i w:val="false"/>
          <w:caps w:val="false"/>
          <w:smallCaps w:val="false"/>
          <w:strike w:val="false"/>
          <w:dstrike w:val="false"/>
          <w:color w:val="000000"/>
          <w:sz w:val="22"/>
          <w:szCs w:val="22"/>
          <w:u w:val="none"/>
          <w:effect w:val="none"/>
        </w:rPr>
        <w:t>Tal y como establece la Orden ECD/1172/2022 en su Artículo 13: </w:t>
      </w:r>
    </w:p>
    <w:p>
      <w:pPr>
        <w:pStyle w:val="Cuerpodetexto"/>
        <w:bidi w:val="0"/>
        <w:spacing w:lineRule="auto" w:line="288" w:before="0" w:after="0"/>
        <w:ind w:left="57" w:right="0" w:hanging="0"/>
        <w:jc w:val="both"/>
        <w:rPr/>
      </w:pPr>
      <w:r>
        <w:rPr>
          <w:rFonts w:ascii="Calibri;sans-serif" w:hAnsi="Calibri;sans-serif"/>
          <w:b w:val="false"/>
          <w:i/>
          <w:caps w:val="false"/>
          <w:smallCaps w:val="false"/>
          <w:strike w:val="false"/>
          <w:dstrike w:val="false"/>
          <w:color w:val="000000"/>
          <w:sz w:val="22"/>
          <w:u w:val="none"/>
          <w:effect w:val="none"/>
        </w:rPr>
        <w:t>Los referentes para la comprobación del grado de adquisición de las competencias clave y el logro de los objetivos de la etapa serán los criterios de evaluación de las diferentes materias asociados a las competencias específicas. Dichos criterios de evaluación, actúan como puente entre las competencias específicas y los descriptores operativos del grado de desarrollo de las competencias clave relacionados en el Perfil de salida.</w:t>
      </w:r>
    </w:p>
    <w:p>
      <w:pPr>
        <w:pStyle w:val="Cuerpodetexto"/>
        <w:rPr/>
      </w:pPr>
      <w:r>
        <w:rPr/>
      </w:r>
    </w:p>
    <w:p>
      <w:pPr>
        <w:pStyle w:val="Cuerpodetexto"/>
        <w:bidi w:val="0"/>
        <w:spacing w:lineRule="auto" w:line="288" w:before="0" w:after="0"/>
        <w:ind w:left="57" w:right="0" w:hanging="0"/>
        <w:jc w:val="both"/>
        <w:rPr/>
      </w:pPr>
      <w:r>
        <w:rPr>
          <w:rFonts w:ascii="Calibri;sans-serif" w:hAnsi="Calibri;sans-serif"/>
          <w:b w:val="false"/>
          <w:i w:val="false"/>
          <w:caps w:val="false"/>
          <w:smallCaps w:val="false"/>
          <w:strike w:val="false"/>
          <w:dstrike w:val="false"/>
          <w:color w:val="000000"/>
          <w:sz w:val="22"/>
          <w:u w:val="none"/>
          <w:effect w:val="none"/>
        </w:rPr>
        <w:t>Del mismo modo, en el Artículo 14 de dicha Orden se establece que: </w:t>
      </w:r>
    </w:p>
    <w:p>
      <w:pPr>
        <w:pStyle w:val="Cuerpodetexto"/>
        <w:bidi w:val="0"/>
        <w:spacing w:lineRule="auto" w:line="288" w:before="0" w:after="0"/>
        <w:ind w:left="57" w:right="0" w:hanging="0"/>
        <w:jc w:val="both"/>
        <w:rPr/>
      </w:pPr>
      <w:r>
        <w:rPr>
          <w:rFonts w:ascii="Calibri;sans-serif" w:hAnsi="Calibri;sans-serif"/>
          <w:b w:val="false"/>
          <w:i/>
          <w:caps w:val="false"/>
          <w:smallCaps w:val="false"/>
          <w:strike w:val="false"/>
          <w:dstrike w:val="false"/>
          <w:color w:val="000000"/>
          <w:sz w:val="22"/>
          <w:u w:val="none"/>
          <w:effect w:val="none"/>
        </w:rPr>
        <w:t>La evaluación del alumnado será integradora, continua y formativa, y tendrá en cuenta el grado de desarrollo de las competencias clave y su progreso en el conjunto de los procesos de aprendizaje.</w:t>
      </w:r>
    </w:p>
    <w:p>
      <w:pPr>
        <w:pStyle w:val="Cuerpodetexto"/>
        <w:rPr/>
      </w:pPr>
      <w:r>
        <w:rPr/>
      </w:r>
    </w:p>
    <w:p>
      <w:pPr>
        <w:pStyle w:val="Cuerpodetexto"/>
        <w:bidi w:val="0"/>
        <w:spacing w:lineRule="auto" w:line="288" w:before="0" w:after="0"/>
        <w:ind w:left="57" w:right="0" w:hanging="0"/>
        <w:jc w:val="both"/>
        <w:rPr/>
      </w:pPr>
      <w:r>
        <w:rPr>
          <w:rFonts w:ascii="Calibri;sans-serif" w:hAnsi="Calibri;sans-serif"/>
          <w:b w:val="false"/>
          <w:i/>
          <w:caps w:val="false"/>
          <w:smallCaps w:val="false"/>
          <w:strike w:val="false"/>
          <w:dstrike w:val="false"/>
          <w:color w:val="000000"/>
          <w:sz w:val="22"/>
          <w:u w:val="none"/>
          <w:effect w:val="none"/>
        </w:rPr>
        <w:t>En el contexto del proceso de evaluación continua, cuando el progreso del alumnado no sea el adecuado, se establecerán las medidas de refuerzo educativo. Estas medidas deberán adoptarse tan pronto se detecten las dificultades y estarán dirigidas a garantizar la adquisición de los aprendizajes imprescindibles para continuar el proceso educativo. El profesorado recogerá información de manera permanente acerca del proceso de enseñanza y de aprendizaje de su alumnado con especial atención a los objetivos, competencias específicas y criterios de evaluación. Los procedimientos e instrumentos de evaluación utilizados deberán permitir la constatación de los progresos realizados por cada alumno y por cada alumna, teniendo en cuenta su particular situación inicial y atendiendo a la diversidad de capacidades, actitudes y ritmos de aprendizaje.</w:t>
      </w:r>
    </w:p>
    <w:p>
      <w:pPr>
        <w:pStyle w:val="Cuerpodetexto"/>
        <w:rPr/>
      </w:pPr>
      <w:r>
        <w:rPr/>
      </w:r>
    </w:p>
    <w:p>
      <w:pPr>
        <w:pStyle w:val="Cuerpodetexto"/>
        <w:bidi w:val="0"/>
        <w:spacing w:lineRule="auto" w:line="288" w:before="0" w:after="0"/>
        <w:ind w:left="57" w:right="0" w:hanging="0"/>
        <w:jc w:val="both"/>
        <w:rPr/>
      </w:pPr>
      <w:r>
        <w:rPr>
          <w:rFonts w:ascii="Calibri;sans-serif" w:hAnsi="Calibri;sans-serif"/>
          <w:b w:val="false"/>
          <w:i w:val="false"/>
          <w:caps w:val="false"/>
          <w:smallCaps w:val="false"/>
          <w:strike w:val="false"/>
          <w:dstrike w:val="false"/>
          <w:color w:val="000000"/>
          <w:sz w:val="22"/>
          <w:u w:val="none"/>
          <w:effect w:val="none"/>
        </w:rPr>
        <w:t>Por tanto, en el contexto de la evaluación continua, cuando el progreso de un alumno no sea el adecuado, se establecerán medidas de refuerzo educativo para reorientar el proceso de enseñanza-aprendizaje de cara a la adquisición de las competencias clave al finalizar el curso. Estas medidas de refuerzo pueden adoptarse en cualquier momento del curso y sirven también como medida de atención a la diversidad de capacidades y estilos de aprendizaje del alumnado que constituye el grupo. Por tanto, esta evaluación se aplica durante el proceso didáctico y se basa en la observación de las actividades de aprendizaje que va realizando el alumno, por lo que no tiene como objetivo dar calificaciones sino mostrar al profesor (y al propio alumno) el grado de desarrollo de su aprendizaje. </w:t>
      </w:r>
    </w:p>
    <w:p>
      <w:pPr>
        <w:pStyle w:val="Cuerpodetexto"/>
        <w:rPr/>
      </w:pPr>
      <w:r>
        <w:rPr/>
      </w:r>
    </w:p>
    <w:p>
      <w:pPr>
        <w:pStyle w:val="Cuerpodetexto"/>
        <w:bidi w:val="0"/>
        <w:spacing w:lineRule="auto" w:line="288" w:before="0" w:after="0"/>
        <w:ind w:left="57" w:right="0" w:hanging="0"/>
        <w:jc w:val="both"/>
        <w:rPr/>
      </w:pPr>
      <w:r>
        <w:rPr>
          <w:rFonts w:ascii="Calibri;sans-serif" w:hAnsi="Calibri;sans-serif"/>
          <w:b w:val="false"/>
          <w:i w:val="false"/>
          <w:caps w:val="false"/>
          <w:smallCaps w:val="false"/>
          <w:strike w:val="false"/>
          <w:dstrike w:val="false"/>
          <w:color w:val="000000"/>
          <w:sz w:val="22"/>
          <w:u w:val="none"/>
          <w:effect w:val="none"/>
        </w:rPr>
        <w:t>La evaluación se entiende como un elemento formativo, ya que debe servir para que los alumnos/as sean conscientes de los errores que hayan cometido y puedan aprender de sus propios fallos, lo que contribuye a la competencia clave de aprender a aprender. En este sentido, cualquier instrumento de evaluación será mostrado al alumno con sus correcciones e indicaciones correspondientes que justifiquen la calificación y que sirvan de base para lograr aquellos objetivos que no se hayan logrado todavía.  </w:t>
      </w:r>
    </w:p>
    <w:p>
      <w:pPr>
        <w:pStyle w:val="Cuerpodetexto"/>
        <w:rPr/>
      </w:pPr>
      <w:r>
        <w:rPr/>
      </w:r>
    </w:p>
    <w:p>
      <w:pPr>
        <w:pStyle w:val="Cuerpodetexto"/>
        <w:bidi w:val="0"/>
        <w:spacing w:lineRule="auto" w:line="288" w:before="0" w:after="0"/>
        <w:ind w:left="57" w:right="0" w:hanging="0"/>
        <w:jc w:val="both"/>
        <w:rPr/>
      </w:pPr>
      <w:r>
        <w:rPr>
          <w:rFonts w:ascii="Calibri;sans-serif" w:hAnsi="Calibri;sans-serif"/>
          <w:b w:val="false"/>
          <w:i w:val="false"/>
          <w:caps w:val="false"/>
          <w:smallCaps w:val="false"/>
          <w:strike w:val="false"/>
          <w:dstrike w:val="false"/>
          <w:color w:val="000000"/>
          <w:sz w:val="22"/>
          <w:u w:val="none"/>
          <w:effect w:val="none"/>
        </w:rPr>
        <w:t>Mientras que la evaluación también tiene carácter integrador, ya que las diferentes materias de los diferentes cursos de la ESO deben contribuir a lograr los objetivos establecidos para la etapa de la ESO y el desarrollo de las competencias clave.  </w:t>
      </w:r>
    </w:p>
    <w:p>
      <w:pPr>
        <w:pStyle w:val="Cuerpodetexto"/>
        <w:rPr/>
      </w:pPr>
      <w:r>
        <w:rPr/>
      </w:r>
    </w:p>
    <w:p>
      <w:pPr>
        <w:pStyle w:val="Cuerpodetexto"/>
        <w:bidi w:val="0"/>
        <w:spacing w:lineRule="auto" w:line="288" w:before="0" w:after="0"/>
        <w:ind w:left="57" w:right="0" w:hanging="0"/>
        <w:jc w:val="both"/>
        <w:rPr/>
      </w:pPr>
      <w:r>
        <w:rPr>
          <w:rFonts w:ascii="Calibri;sans-serif" w:hAnsi="Calibri;sans-serif"/>
          <w:b w:val="false"/>
          <w:i w:val="false"/>
          <w:caps w:val="false"/>
          <w:smallCaps w:val="false"/>
          <w:strike w:val="false"/>
          <w:dstrike w:val="false"/>
          <w:color w:val="000000"/>
          <w:sz w:val="22"/>
          <w:u w:val="none"/>
          <w:effect w:val="none"/>
        </w:rPr>
        <w:t>En el marco de las competencias clave, la evaluación debe ser global, es decir, debe considerar no solo la capacidad de un alumno para resolver un problema modelo determinado, sino su capacidad para colaborar con otros alumnos en la resolución de una misma tarea, su expresión oral al explicar la resolución de un problema en la pizarra, etc. De este modo no solo se evalúan conocimientos sino también lo contemplado en las competencias clave. </w:t>
      </w:r>
    </w:p>
    <w:p>
      <w:pPr>
        <w:pStyle w:val="Cuerpodetexto"/>
        <w:rPr/>
      </w:pPr>
      <w:r>
        <w:rPr/>
      </w:r>
    </w:p>
    <w:p>
      <w:pPr>
        <w:pStyle w:val="Cuerpodetexto"/>
        <w:bidi w:val="0"/>
        <w:spacing w:lineRule="auto" w:line="288" w:before="0" w:after="0"/>
        <w:ind w:left="57" w:right="0" w:hanging="0"/>
        <w:jc w:val="both"/>
        <w:rPr/>
      </w:pPr>
      <w:r>
        <w:rPr>
          <w:rFonts w:ascii="Calibri;sans-serif" w:hAnsi="Calibri;sans-serif"/>
          <w:b w:val="false"/>
          <w:i w:val="false"/>
          <w:caps w:val="false"/>
          <w:smallCaps w:val="false"/>
          <w:strike w:val="false"/>
          <w:dstrike w:val="false"/>
          <w:color w:val="000000"/>
          <w:sz w:val="22"/>
          <w:u w:val="none"/>
          <w:effect w:val="none"/>
        </w:rPr>
        <w:t>Por último, los alumnos tienen derecho a ser evaluados con objetividad, de ahí que se publiquen a principio de curso los criterios de evaluación y los criterios de calificación de cada asignatura del departamento de Física y Química. En esta línea, todos los ejercicios o tareas tendrán asignado un peso determinado en la calificación del instrumento de evaluación que será conocido por el alumno/a. Además, se informará a los alumnos/as de que  en las pruebas escritas se pueden establecer una serie de penalizaciones (por ausencia de unidades en un resultado, por faltas de ortografía, por ausencia de las fórmulas, etc.). Por supuesto, el docente estará siempre a disposición del alumno para aclararle cualquier duda en la calificación de un instrumento de evaluación y para corregir cualquier error originado por el docente en la corrección. </w:t>
      </w:r>
    </w:p>
    <w:p>
      <w:pPr>
        <w:pStyle w:val="Cuerpodetexto"/>
        <w:rPr/>
      </w:pPr>
      <w:r>
        <w:rPr/>
      </w:r>
    </w:p>
    <w:p>
      <w:pPr>
        <w:pStyle w:val="Cuerpodetexto"/>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Para poder evaluar de forma global teniendo en cuenta las competencias clave es necesario recurrir a variados procedimientos de evaluación que se basan en diferentes instrumentos de evaluación. Tal y como establece la legislación</w:t>
      </w:r>
      <w:r>
        <w:rPr>
          <w:rFonts w:ascii="Calibri;sans-serif" w:hAnsi="Calibri;sans-serif"/>
          <w:b/>
          <w:i w:val="false"/>
          <w:caps w:val="false"/>
          <w:smallCaps w:val="false"/>
          <w:strike w:val="false"/>
          <w:dstrike w:val="false"/>
          <w:color w:val="000000"/>
          <w:sz w:val="22"/>
          <w:u w:val="none"/>
          <w:effect w:val="none"/>
        </w:rPr>
        <w:t xml:space="preserve">, </w:t>
      </w:r>
      <w:r>
        <w:rPr>
          <w:rFonts w:ascii="Calibri;sans-serif" w:hAnsi="Calibri;sans-serif"/>
          <w:b w:val="false"/>
          <w:i w:val="false"/>
          <w:caps w:val="false"/>
          <w:smallCaps w:val="false"/>
          <w:strike w:val="false"/>
          <w:dstrike w:val="false"/>
          <w:color w:val="000000"/>
          <w:sz w:val="22"/>
          <w:u w:val="none"/>
          <w:effect w:val="none"/>
        </w:rPr>
        <w:t>los referentes de la evaluación son los Criterios de Evaluación, por tanto, todos los elementos que intervienen en la evaluación estarán referidos a los Criterios de Evaluación.</w:t>
      </w:r>
    </w:p>
    <w:p>
      <w:pPr>
        <w:pStyle w:val="Cuerpodetexto"/>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En la siguiente tabla se muestran los procedimiento de evaluación que se van a utilizar en el curso académico.</w:t>
      </w:r>
    </w:p>
    <w:p>
      <w:pPr>
        <w:pStyle w:val="Cuerpodetexto"/>
        <w:rPr/>
      </w:pPr>
      <w:r>
        <w:rPr/>
      </w:r>
    </w:p>
    <w:p>
      <w:pPr>
        <w:pStyle w:val="Cuerpodetexto"/>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Los instrumentos de evaluación serán:</w:t>
      </w:r>
    </w:p>
    <w:p>
      <w:pPr>
        <w:pStyle w:val="Cuerpodetexto"/>
        <w:rPr/>
      </w:pPr>
      <w:r>
        <w:rPr/>
      </w:r>
    </w:p>
    <w:p>
      <w:pPr>
        <w:pStyle w:val="Cuerpodetexto"/>
        <w:numPr>
          <w:ilvl w:val="0"/>
          <w:numId w:val="10"/>
        </w:numPr>
        <w:tabs>
          <w:tab w:val="clear" w:pos="720"/>
          <w:tab w:val="left" w:pos="0" w:leader="none"/>
        </w:tabs>
        <w:bidi w:val="0"/>
        <w:spacing w:lineRule="auto" w:line="288" w:before="0" w:after="0"/>
        <w:ind w:left="707" w:hanging="283"/>
        <w:jc w:val="both"/>
        <w:rPr/>
      </w:pPr>
      <w:r>
        <w:rPr>
          <w:rFonts w:ascii="Calibri;sans-serif" w:hAnsi="Calibri;sans-serif"/>
          <w:b w:val="false"/>
          <w:i w:val="false"/>
          <w:caps w:val="false"/>
          <w:smallCaps w:val="false"/>
          <w:strike w:val="false"/>
          <w:dstrike w:val="false"/>
          <w:color w:val="000000"/>
          <w:sz w:val="22"/>
          <w:u w:val="none"/>
          <w:effect w:val="none"/>
        </w:rPr>
        <w:t>Pruebas objetivas (exámenes) en las que se plantean actividades, problemas numéricos y preguntas teóricas.</w:t>
      </w:r>
    </w:p>
    <w:p>
      <w:pPr>
        <w:pStyle w:val="Cuerpodetexto"/>
        <w:numPr>
          <w:ilvl w:val="0"/>
          <w:numId w:val="10"/>
        </w:numPr>
        <w:tabs>
          <w:tab w:val="clear" w:pos="720"/>
          <w:tab w:val="left" w:pos="0" w:leader="none"/>
        </w:tabs>
        <w:bidi w:val="0"/>
        <w:spacing w:lineRule="auto" w:line="288" w:before="0" w:after="0"/>
        <w:ind w:left="707" w:hanging="283"/>
        <w:jc w:val="both"/>
        <w:rPr/>
      </w:pPr>
      <w:r>
        <w:rPr>
          <w:rFonts w:ascii="Calibri;sans-serif" w:hAnsi="Calibri;sans-serif"/>
          <w:b w:val="false"/>
          <w:i w:val="false"/>
          <w:caps w:val="false"/>
          <w:smallCaps w:val="false"/>
          <w:strike w:val="false"/>
          <w:dstrike w:val="false"/>
          <w:color w:val="000000"/>
          <w:sz w:val="22"/>
          <w:u w:val="none"/>
          <w:effect w:val="none"/>
        </w:rPr>
        <w:t>Control de los deberes y del trabajo realizado en el aula.  Realización de ejercicios. Cuaderno y seguimiento. </w:t>
      </w:r>
    </w:p>
    <w:p>
      <w:pPr>
        <w:pStyle w:val="Cuerpodetexto"/>
        <w:numPr>
          <w:ilvl w:val="0"/>
          <w:numId w:val="10"/>
        </w:numPr>
        <w:tabs>
          <w:tab w:val="clear" w:pos="720"/>
          <w:tab w:val="left" w:pos="0" w:leader="none"/>
        </w:tabs>
        <w:bidi w:val="0"/>
        <w:spacing w:lineRule="auto" w:line="288" w:before="0" w:after="0"/>
        <w:ind w:left="707" w:hanging="283"/>
        <w:jc w:val="both"/>
        <w:rPr/>
      </w:pPr>
      <w:r>
        <w:rPr>
          <w:rFonts w:ascii="Calibri;sans-serif" w:hAnsi="Calibri;sans-serif"/>
          <w:b w:val="false"/>
          <w:i w:val="false"/>
          <w:caps w:val="false"/>
          <w:smallCaps w:val="false"/>
          <w:strike w:val="false"/>
          <w:dstrike w:val="false"/>
          <w:color w:val="000000"/>
          <w:sz w:val="22"/>
          <w:u w:val="none"/>
          <w:effect w:val="none"/>
        </w:rPr>
        <w:t>Planteamiento y resolución de actividades en clase, de forma oral o por escrito, por parte de los alumnos.</w:t>
      </w:r>
    </w:p>
    <w:p>
      <w:pPr>
        <w:pStyle w:val="Cuerpodetexto"/>
        <w:numPr>
          <w:ilvl w:val="0"/>
          <w:numId w:val="10"/>
        </w:numPr>
        <w:tabs>
          <w:tab w:val="clear" w:pos="720"/>
          <w:tab w:val="left" w:pos="0" w:leader="none"/>
        </w:tabs>
        <w:bidi w:val="0"/>
        <w:spacing w:lineRule="auto" w:line="288" w:before="0" w:after="0"/>
        <w:ind w:left="707" w:hanging="283"/>
        <w:jc w:val="both"/>
        <w:rPr/>
      </w:pPr>
      <w:r>
        <w:rPr>
          <w:rFonts w:ascii="Calibri;sans-serif" w:hAnsi="Calibri;sans-serif"/>
          <w:b w:val="false"/>
          <w:i w:val="false"/>
          <w:caps w:val="false"/>
          <w:smallCaps w:val="false"/>
          <w:strike w:val="false"/>
          <w:dstrike w:val="false"/>
          <w:color w:val="000000"/>
          <w:sz w:val="22"/>
          <w:u w:val="none"/>
          <w:effect w:val="none"/>
        </w:rPr>
        <w:t>Informes de laboratorio y resolución de cuestiones planteadas en el mismo sobre las prácticas que se realicen.</w:t>
      </w:r>
    </w:p>
    <w:p>
      <w:pPr>
        <w:pStyle w:val="Cuerpodetexto"/>
        <w:numPr>
          <w:ilvl w:val="0"/>
          <w:numId w:val="10"/>
        </w:numPr>
        <w:tabs>
          <w:tab w:val="clear" w:pos="720"/>
          <w:tab w:val="left" w:pos="0" w:leader="none"/>
        </w:tabs>
        <w:bidi w:val="0"/>
        <w:spacing w:lineRule="auto" w:line="288" w:before="0" w:after="0"/>
        <w:ind w:left="707" w:hanging="283"/>
        <w:jc w:val="both"/>
        <w:rPr/>
      </w:pPr>
      <w:r>
        <w:rPr>
          <w:rFonts w:ascii="Calibri;sans-serif" w:hAnsi="Calibri;sans-serif"/>
          <w:b w:val="false"/>
          <w:i w:val="false"/>
          <w:caps w:val="false"/>
          <w:smallCaps w:val="false"/>
          <w:strike w:val="false"/>
          <w:dstrike w:val="false"/>
          <w:color w:val="000000"/>
          <w:sz w:val="22"/>
          <w:u w:val="none"/>
          <w:effect w:val="none"/>
        </w:rPr>
        <w:t>Valoración de la participación en clase</w:t>
      </w:r>
    </w:p>
    <w:p>
      <w:pPr>
        <w:pStyle w:val="Cuerpodetexto"/>
        <w:numPr>
          <w:ilvl w:val="0"/>
          <w:numId w:val="10"/>
        </w:numPr>
        <w:tabs>
          <w:tab w:val="clear" w:pos="720"/>
          <w:tab w:val="left" w:pos="0" w:leader="none"/>
        </w:tabs>
        <w:bidi w:val="0"/>
        <w:spacing w:lineRule="auto" w:line="288" w:before="0" w:after="0"/>
        <w:ind w:left="707" w:hanging="283"/>
        <w:jc w:val="both"/>
        <w:rPr/>
      </w:pPr>
      <w:r>
        <w:rPr>
          <w:rFonts w:ascii="Calibri;sans-serif" w:hAnsi="Calibri;sans-serif"/>
          <w:b w:val="false"/>
          <w:i w:val="false"/>
          <w:caps w:val="false"/>
          <w:smallCaps w:val="false"/>
          <w:strike w:val="false"/>
          <w:dstrike w:val="false"/>
          <w:color w:val="000000"/>
          <w:sz w:val="22"/>
          <w:u w:val="none"/>
          <w:effect w:val="none"/>
        </w:rPr>
        <w:t>Trabajos cooperativos en grupos heterogéneos.</w:t>
      </w:r>
    </w:p>
    <w:p>
      <w:pPr>
        <w:pStyle w:val="Normal"/>
        <w:jc w:val="both"/>
        <w:rPr>
          <w:rFonts w:ascii="Cambria" w:hAnsi="Cambria" w:asciiTheme="majorHAnsi" w:hAnsiTheme="majorHAnsi"/>
          <w:bCs/>
          <w:color w:val="000000"/>
          <w:sz w:val="22"/>
          <w:szCs w:val="22"/>
        </w:rPr>
      </w:pPr>
      <w:r>
        <w:rPr>
          <w:rFonts w:asciiTheme="majorHAnsi" w:hAnsiTheme="majorHAnsi" w:ascii="Cambria" w:hAnsi="Cambria"/>
          <w:bCs/>
          <w:color w:val="000000"/>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cs="Cambria"/>
          <w:b/>
          <w:sz w:val="22"/>
          <w:szCs w:val="22"/>
          <w:u w:val="single"/>
        </w:rPr>
        <w:t>4. CRITERIOS DE CALIFICACIÓN</w:t>
      </w:r>
    </w:p>
    <w:p>
      <w:pPr>
        <w:pStyle w:val="Normal"/>
        <w:tabs>
          <w:tab w:val="clear" w:pos="720"/>
          <w:tab w:val="left" w:pos="284" w:leader="none"/>
        </w:tabs>
        <w:ind w:firstLine="284"/>
        <w:jc w:val="both"/>
        <w:rPr/>
      </w:pPr>
      <w:r>
        <w:rPr>
          <w:color w:val="000000"/>
          <w:sz w:val="22"/>
          <w:szCs w:val="22"/>
        </w:rPr>
        <w:t xml:space="preserve"> </w:t>
      </w:r>
      <w:bookmarkStart w:id="4" w:name="docs-internal-guid-7576397f-7fff-886e-a7"/>
      <w:bookmarkEnd w:id="4"/>
    </w:p>
    <w:p>
      <w:pPr>
        <w:pStyle w:val="Cuerpodetexto"/>
        <w:numPr>
          <w:ilvl w:val="0"/>
          <w:numId w:val="11"/>
        </w:numPr>
        <w:tabs>
          <w:tab w:val="clear" w:pos="720"/>
          <w:tab w:val="left" w:pos="0" w:leader="none"/>
        </w:tabs>
        <w:bidi w:val="0"/>
        <w:spacing w:lineRule="auto" w:line="288" w:before="0" w:after="0"/>
        <w:ind w:left="707" w:right="0" w:hanging="283"/>
        <w:jc w:val="both"/>
        <w:rPr/>
      </w:pPr>
      <w:r>
        <w:rPr>
          <w:rFonts w:ascii="Calibri;sans-serif" w:hAnsi="Calibri;sans-serif"/>
          <w:b w:val="false"/>
          <w:i w:val="false"/>
          <w:caps w:val="false"/>
          <w:smallCaps w:val="false"/>
          <w:strike w:val="false"/>
          <w:dstrike w:val="false"/>
          <w:color w:val="000000"/>
          <w:sz w:val="22"/>
          <w:u w:val="none"/>
          <w:effect w:val="none"/>
        </w:rPr>
        <w:t>Teniendo en cuenta los procedimientos e instrumentos de evaluación indicados anteriormente en esta programación, se indican a continuación los criterios de calificación que se van a utilizar para este curso para obtener la calificación final de cada evaluación:</w:t>
      </w:r>
    </w:p>
    <w:p>
      <w:pPr>
        <w:pStyle w:val="Cuerpodetexto"/>
        <w:numPr>
          <w:ilvl w:val="0"/>
          <w:numId w:val="12"/>
        </w:numPr>
        <w:tabs>
          <w:tab w:val="clear" w:pos="720"/>
          <w:tab w:val="left" w:pos="0" w:leader="none"/>
        </w:tabs>
        <w:bidi w:val="0"/>
        <w:spacing w:lineRule="auto" w:line="288" w:before="0" w:after="0"/>
        <w:ind w:left="837" w:right="0" w:hanging="283"/>
        <w:jc w:val="both"/>
        <w:rPr/>
      </w:pPr>
      <w:r>
        <w:rPr>
          <w:rFonts w:ascii="Calibri;sans-serif" w:hAnsi="Calibri;sans-serif"/>
          <w:b w:val="false"/>
          <w:i w:val="false"/>
          <w:caps w:val="false"/>
          <w:smallCaps w:val="false"/>
          <w:strike w:val="false"/>
          <w:dstrike w:val="false"/>
          <w:color w:val="000000"/>
          <w:sz w:val="22"/>
          <w:u w:val="none"/>
          <w:effect w:val="none"/>
        </w:rPr>
        <w:t>La media aritmética de la nota obtenida en los exámenes que se realicen a lo largo de la evaluación tendrá un peso del 75 % de la nota final.</w:t>
      </w:r>
    </w:p>
    <w:p>
      <w:pPr>
        <w:pStyle w:val="Cuerpodetexto"/>
        <w:bidi w:val="0"/>
        <w:spacing w:lineRule="auto" w:line="288" w:before="0" w:after="0"/>
        <w:ind w:left="850" w:right="0" w:hanging="0"/>
        <w:jc w:val="both"/>
        <w:rPr/>
      </w:pPr>
      <w:r>
        <w:rPr>
          <w:rFonts w:ascii="Calibri;sans-serif" w:hAnsi="Calibri;sans-serif"/>
          <w:b w:val="false"/>
          <w:i w:val="false"/>
          <w:caps w:val="false"/>
          <w:smallCaps w:val="false"/>
          <w:strike w:val="false"/>
          <w:dstrike w:val="false"/>
          <w:color w:val="000000"/>
          <w:sz w:val="22"/>
          <w:u w:val="none"/>
          <w:effect w:val="none"/>
        </w:rPr>
        <w:t>Se intentará como mínimo dos exámenes por evaluación. El contenido de estos exámenes se basará en los saberes y procedimientos  y podrán incluir actividades realizadas en clase y en laboratorio.</w:t>
      </w:r>
    </w:p>
    <w:p>
      <w:pPr>
        <w:pStyle w:val="Cuerpodetexto"/>
        <w:bidi w:val="0"/>
        <w:spacing w:lineRule="auto" w:line="288" w:before="0" w:after="0"/>
        <w:ind w:left="850" w:right="0" w:hanging="0"/>
        <w:jc w:val="both"/>
        <w:rPr/>
      </w:pPr>
      <w:r>
        <w:rPr>
          <w:rFonts w:ascii="Calibri;sans-serif" w:hAnsi="Calibri;sans-serif"/>
          <w:b w:val="false"/>
          <w:i w:val="false"/>
          <w:caps w:val="false"/>
          <w:smallCaps w:val="false"/>
          <w:strike w:val="false"/>
          <w:dstrike w:val="false"/>
          <w:color w:val="000000"/>
          <w:sz w:val="22"/>
          <w:u w:val="none"/>
          <w:effect w:val="none"/>
        </w:rPr>
        <w:t>Para hallar la contribución de los exámenes a la nota final de una evaluación, se hará la media ponderada de los exámenes realizados</w:t>
      </w:r>
    </w:p>
    <w:p>
      <w:pPr>
        <w:pStyle w:val="Cuerpodetexto"/>
        <w:rPr/>
      </w:pPr>
      <w:r>
        <w:rPr/>
      </w:r>
    </w:p>
    <w:p>
      <w:pPr>
        <w:pStyle w:val="Cuerpodetexto"/>
        <w:bidi w:val="0"/>
        <w:spacing w:lineRule="auto" w:line="288" w:before="0" w:after="0"/>
        <w:ind w:left="850" w:right="0" w:hanging="0"/>
        <w:jc w:val="both"/>
        <w:rPr/>
      </w:pPr>
      <w:r>
        <w:rPr>
          <w:rFonts w:ascii="Calibri;sans-serif" w:hAnsi="Calibri;sans-serif"/>
          <w:b w:val="false"/>
          <w:i w:val="false"/>
          <w:caps w:val="false"/>
          <w:smallCaps w:val="false"/>
          <w:strike w:val="false"/>
          <w:dstrike w:val="false"/>
          <w:color w:val="auto"/>
          <w:sz w:val="22"/>
          <w:u w:val="none"/>
          <w:effect w:val="none"/>
        </w:rPr>
        <w:t>Si no se presenta a un examen sin causa justificada la nota será de 0 </w:t>
      </w:r>
    </w:p>
    <w:p>
      <w:pPr>
        <w:pStyle w:val="Cuerpodetexto"/>
        <w:bidi w:val="0"/>
        <w:spacing w:lineRule="auto" w:line="288" w:before="0" w:after="0"/>
        <w:ind w:left="850" w:right="0" w:hanging="0"/>
        <w:jc w:val="both"/>
        <w:rPr/>
      </w:pPr>
      <w:r>
        <w:rPr>
          <w:rFonts w:ascii="Calibri;sans-serif" w:hAnsi="Calibri;sans-serif"/>
          <w:b w:val="false"/>
          <w:i w:val="false"/>
          <w:caps w:val="false"/>
          <w:smallCaps w:val="false"/>
          <w:strike w:val="false"/>
          <w:dstrike w:val="false"/>
          <w:color w:val="auto"/>
          <w:sz w:val="22"/>
          <w:u w:val="none"/>
          <w:effect w:val="none"/>
        </w:rPr>
        <w:t>Si a un alumno se le coge haciendo algo irregular durante un examen su calificación sera de 0 </w:t>
      </w:r>
    </w:p>
    <w:p>
      <w:pPr>
        <w:pStyle w:val="Cuerpodetexto"/>
        <w:rPr/>
      </w:pPr>
      <w:r>
        <w:rPr/>
      </w:r>
    </w:p>
    <w:p>
      <w:pPr>
        <w:pStyle w:val="Cuerpodetexto"/>
        <w:numPr>
          <w:ilvl w:val="0"/>
          <w:numId w:val="13"/>
        </w:numPr>
        <w:tabs>
          <w:tab w:val="clear" w:pos="720"/>
          <w:tab w:val="left" w:pos="0" w:leader="none"/>
        </w:tabs>
        <w:bidi w:val="0"/>
        <w:spacing w:lineRule="auto" w:line="288" w:before="0" w:after="0"/>
        <w:ind w:left="707" w:hanging="283"/>
        <w:jc w:val="both"/>
        <w:rPr/>
      </w:pPr>
      <w:r>
        <w:rPr>
          <w:rFonts w:ascii="Calibri;sans-serif" w:hAnsi="Calibri;sans-serif"/>
          <w:b w:val="false"/>
          <w:i w:val="false"/>
          <w:caps w:val="false"/>
          <w:smallCaps w:val="false"/>
          <w:strike w:val="false"/>
          <w:dstrike w:val="false"/>
          <w:color w:val="000000"/>
          <w:sz w:val="22"/>
          <w:u w:val="none"/>
          <w:effect w:val="none"/>
        </w:rPr>
        <w:t>El profesor supervisará los instrumentos 2, 3 ,4 ,5 y 6  , a partir de las tareas que se encarguen al alumno (incluyendo tanto los ejercicios propuestos en clase, como las tareas para casa o los informes de las prácticas de laboratorio).</w:t>
      </w:r>
    </w:p>
    <w:p>
      <w:pPr>
        <w:pStyle w:val="Cuerpodetexto"/>
        <w:bidi w:val="0"/>
        <w:spacing w:lineRule="auto" w:line="288" w:before="0" w:after="0"/>
        <w:ind w:left="720" w:right="0" w:hanging="0"/>
        <w:jc w:val="both"/>
        <w:rPr/>
      </w:pPr>
      <w:r>
        <w:rPr>
          <w:rFonts w:ascii="Calibri;sans-serif" w:hAnsi="Calibri;sans-serif"/>
          <w:b w:val="false"/>
          <w:i w:val="false"/>
          <w:caps w:val="false"/>
          <w:smallCaps w:val="false"/>
          <w:strike w:val="false"/>
          <w:dstrike w:val="false"/>
          <w:color w:val="000000"/>
          <w:sz w:val="22"/>
          <w:u w:val="none"/>
          <w:effect w:val="none"/>
        </w:rPr>
        <w:t>Por otra parte, el cuaderno de clase será de entrega obligatoria en la fecha indicada por el profesor.  </w:t>
      </w:r>
    </w:p>
    <w:p>
      <w:pPr>
        <w:pStyle w:val="Cuerpodetexto"/>
        <w:bidi w:val="0"/>
        <w:spacing w:lineRule="auto" w:line="288" w:before="0" w:after="0"/>
        <w:ind w:left="720" w:right="0" w:hanging="0"/>
        <w:jc w:val="both"/>
        <w:rPr/>
      </w:pPr>
      <w:r>
        <w:rPr>
          <w:rFonts w:ascii="Calibri;sans-serif" w:hAnsi="Calibri;sans-serif"/>
          <w:b w:val="false"/>
          <w:i w:val="false"/>
          <w:caps w:val="false"/>
          <w:smallCaps w:val="false"/>
          <w:strike w:val="false"/>
          <w:dstrike w:val="false"/>
          <w:color w:val="000000"/>
          <w:sz w:val="22"/>
          <w:u w:val="none"/>
          <w:effect w:val="none"/>
        </w:rPr>
        <w:t>La valoración de este apartado supondrá un 25 % de la nota final. El porcentaje de cada una de las partes, variará en función del número de prácticas y/o trabajos que se hayan podido realizar.</w:t>
      </w:r>
    </w:p>
    <w:p>
      <w:pPr>
        <w:pStyle w:val="Cuerpodetexto"/>
        <w:rPr/>
      </w:pPr>
      <w:r>
        <w:rPr/>
      </w:r>
    </w:p>
    <w:p>
      <w:pPr>
        <w:pStyle w:val="Cuerpodetexto"/>
        <w:bidi w:val="0"/>
        <w:spacing w:lineRule="auto" w:line="288" w:before="0" w:after="0"/>
        <w:ind w:left="720" w:right="0" w:hanging="0"/>
        <w:jc w:val="both"/>
        <w:rPr/>
      </w:pPr>
      <w:r>
        <w:rPr>
          <w:rFonts w:ascii="Calibri;sans-serif" w:hAnsi="Calibri;sans-serif"/>
          <w:b w:val="false"/>
          <w:i w:val="false"/>
          <w:caps w:val="false"/>
          <w:smallCaps w:val="false"/>
          <w:strike w:val="false"/>
          <w:dstrike w:val="false"/>
          <w:color w:val="auto"/>
          <w:sz w:val="22"/>
          <w:u w:val="none"/>
          <w:effect w:val="none"/>
        </w:rPr>
        <w:t>Los trabajos y practicas de laboratorio tendrán fecha de entrega, si se entregan después su nota será de 0 </w:t>
      </w:r>
    </w:p>
    <w:p>
      <w:pPr>
        <w:pStyle w:val="Cuerpodetexto"/>
        <w:rPr/>
      </w:pPr>
      <w:r>
        <w:rPr/>
      </w:r>
    </w:p>
    <w:p>
      <w:pPr>
        <w:pStyle w:val="Cuerpodetexto"/>
        <w:numPr>
          <w:ilvl w:val="0"/>
          <w:numId w:val="14"/>
        </w:numPr>
        <w:tabs>
          <w:tab w:val="clear" w:pos="720"/>
          <w:tab w:val="left" w:pos="0" w:leader="none"/>
        </w:tabs>
        <w:bidi w:val="0"/>
        <w:spacing w:lineRule="auto" w:line="288" w:before="0" w:after="0"/>
        <w:ind w:left="707" w:right="0" w:hanging="283"/>
        <w:jc w:val="both"/>
        <w:rPr/>
      </w:pPr>
      <w:r>
        <w:rPr>
          <w:rFonts w:ascii="Calibri;sans-serif" w:hAnsi="Calibri;sans-serif"/>
          <w:b w:val="false"/>
          <w:i w:val="false"/>
          <w:caps w:val="false"/>
          <w:smallCaps w:val="false"/>
          <w:strike w:val="false"/>
          <w:dstrike w:val="false"/>
          <w:color w:val="000000"/>
          <w:sz w:val="22"/>
          <w:u w:val="none"/>
          <w:effect w:val="none"/>
        </w:rPr>
        <w:t>Aquellos alumnos que no alcancen la calificación de 5 en una evaluación, tendrán la posibilidad de recuperarla por medio de una prueba escrita que se realizará una vez haya finalizado la evaluación.</w:t>
      </w:r>
    </w:p>
    <w:p>
      <w:pPr>
        <w:pStyle w:val="Cuerpodetexto"/>
        <w:bidi w:val="0"/>
        <w:spacing w:lineRule="auto" w:line="288" w:before="0" w:after="0"/>
        <w:ind w:left="283" w:right="0" w:hanging="0"/>
        <w:jc w:val="both"/>
        <w:rPr/>
      </w:pPr>
      <w:r>
        <w:rPr>
          <w:rFonts w:ascii="Calibri;sans-serif" w:hAnsi="Calibri;sans-serif"/>
          <w:b w:val="false"/>
          <w:i w:val="false"/>
          <w:caps w:val="false"/>
          <w:smallCaps w:val="false"/>
          <w:strike w:val="false"/>
          <w:dstrike w:val="false"/>
          <w:color w:val="000000"/>
          <w:sz w:val="22"/>
          <w:u w:val="none"/>
          <w:effect w:val="none"/>
        </w:rPr>
        <w:t>Además, aquellos alumnos con la evaluación aprobada, también podrán realizar dicha recuperación para mejorar su calificación en la evaluación.</w:t>
      </w:r>
    </w:p>
    <w:p>
      <w:pPr>
        <w:pStyle w:val="Cuerpodetexto"/>
        <w:bidi w:val="0"/>
        <w:spacing w:lineRule="auto" w:line="288" w:before="0" w:after="0"/>
        <w:ind w:left="283" w:right="0" w:hanging="0"/>
        <w:jc w:val="both"/>
        <w:rPr/>
      </w:pPr>
      <w:r>
        <w:rPr>
          <w:rFonts w:ascii="Calibri;sans-serif" w:hAnsi="Calibri;sans-serif"/>
          <w:b w:val="false"/>
          <w:i w:val="false"/>
          <w:caps w:val="false"/>
          <w:smallCaps w:val="false"/>
          <w:strike w:val="false"/>
          <w:dstrike w:val="false"/>
          <w:color w:val="000000"/>
          <w:sz w:val="22"/>
          <w:u w:val="none"/>
          <w:effect w:val="none"/>
        </w:rPr>
        <w:t>La nota obtenida en esta recuperación sustituirá a la obtenida en la evaluación, a la hora de calcular la nota final.</w:t>
      </w:r>
    </w:p>
    <w:p>
      <w:pPr>
        <w:pStyle w:val="Cuerpodetexto"/>
        <w:rPr/>
      </w:pPr>
      <w:r>
        <w:rPr/>
      </w:r>
    </w:p>
    <w:p>
      <w:pPr>
        <w:pStyle w:val="Cuerpodetexto"/>
        <w:numPr>
          <w:ilvl w:val="0"/>
          <w:numId w:val="15"/>
        </w:numPr>
        <w:tabs>
          <w:tab w:val="clear" w:pos="720"/>
          <w:tab w:val="left" w:pos="0" w:leader="none"/>
        </w:tabs>
        <w:bidi w:val="0"/>
        <w:spacing w:lineRule="auto" w:line="288" w:before="0" w:after="0"/>
        <w:ind w:left="707" w:right="0" w:hanging="283"/>
        <w:jc w:val="both"/>
        <w:rPr/>
      </w:pPr>
      <w:r>
        <w:rPr>
          <w:rFonts w:ascii="Calibri;sans-serif" w:hAnsi="Calibri;sans-serif"/>
          <w:b w:val="false"/>
          <w:i w:val="false"/>
          <w:caps w:val="false"/>
          <w:smallCaps w:val="false"/>
          <w:strike w:val="false"/>
          <w:dstrike w:val="false"/>
          <w:color w:val="000000"/>
          <w:sz w:val="22"/>
          <w:u w:val="none"/>
          <w:effect w:val="none"/>
        </w:rPr>
        <w:t>Para obtener la nota final de la materia en la evaluación ordinaria, y dado que tenemos tres evaluaciones, tendremos que tener en cuenta las siguientes consideraciones:</w:t>
      </w:r>
    </w:p>
    <w:p>
      <w:pPr>
        <w:pStyle w:val="Cuerpodetexto"/>
        <w:bidi w:val="0"/>
        <w:spacing w:lineRule="auto" w:line="288" w:before="0" w:after="0"/>
        <w:ind w:left="283" w:right="0" w:hanging="0"/>
        <w:jc w:val="both"/>
        <w:rPr/>
      </w:pPr>
      <w:r>
        <w:rPr>
          <w:rFonts w:ascii="Calibri;sans-serif" w:hAnsi="Calibri;sans-serif"/>
          <w:b w:val="false"/>
          <w:i w:val="false"/>
          <w:caps w:val="false"/>
          <w:smallCaps w:val="false"/>
          <w:strike w:val="false"/>
          <w:dstrike w:val="false"/>
          <w:color w:val="000000"/>
          <w:sz w:val="22"/>
          <w:u w:val="none"/>
          <w:effect w:val="none"/>
        </w:rPr>
        <w:t>Si todas las evaluaciones tienen una nota superior o igual a 5, la nota final será el promedio de las tres notas de las evaluaciones.</w:t>
      </w:r>
    </w:p>
    <w:p>
      <w:pPr>
        <w:pStyle w:val="Cuerpodetexto"/>
        <w:bidi w:val="0"/>
        <w:spacing w:lineRule="auto" w:line="288" w:before="0" w:after="0"/>
        <w:ind w:left="283" w:right="0" w:hanging="0"/>
        <w:jc w:val="both"/>
        <w:rPr/>
      </w:pPr>
      <w:r>
        <w:rPr>
          <w:rFonts w:ascii="Calibri;sans-serif" w:hAnsi="Calibri;sans-serif"/>
          <w:b w:val="false"/>
          <w:i w:val="false"/>
          <w:caps w:val="false"/>
          <w:smallCaps w:val="false"/>
          <w:strike w:val="false"/>
          <w:dstrike w:val="false"/>
          <w:color w:val="000000"/>
          <w:sz w:val="22"/>
          <w:u w:val="none"/>
          <w:effect w:val="none"/>
        </w:rPr>
        <w:t>Si solo hay una evaluación con una nota inferior a 5 pero superior a 4, también se hará el promedio. Si éste es igual o superior a 5, el promedio será la nota final; en cambio, si es inferior a 5, el alumno tendrá que realizar el examen de recuperación final de junio.</w:t>
      </w:r>
    </w:p>
    <w:p>
      <w:pPr>
        <w:pStyle w:val="Cuerpodetexto"/>
        <w:bidi w:val="0"/>
        <w:spacing w:lineRule="auto" w:line="288" w:before="0" w:after="0"/>
        <w:ind w:left="283" w:right="0" w:hanging="0"/>
        <w:jc w:val="both"/>
        <w:rPr/>
      </w:pPr>
      <w:r>
        <w:rPr>
          <w:rFonts w:ascii="Calibri;sans-serif" w:hAnsi="Calibri;sans-serif"/>
          <w:b w:val="false"/>
          <w:i w:val="false"/>
          <w:caps w:val="false"/>
          <w:smallCaps w:val="false"/>
          <w:strike w:val="false"/>
          <w:dstrike w:val="false"/>
          <w:color w:val="000000"/>
          <w:sz w:val="22"/>
          <w:u w:val="none"/>
          <w:effect w:val="none"/>
        </w:rPr>
        <w:t>Si hay dos o tres evaluaciones con nota inferior a 5, tendrá que ir al examen de recuperación final de curso.</w:t>
      </w:r>
    </w:p>
    <w:p>
      <w:pPr>
        <w:pStyle w:val="Cuerpodetexto"/>
        <w:rPr/>
      </w:pPr>
      <w:r>
        <w:rPr/>
      </w:r>
    </w:p>
    <w:p>
      <w:pPr>
        <w:pStyle w:val="Cuerpodetexto"/>
        <w:numPr>
          <w:ilvl w:val="0"/>
          <w:numId w:val="16"/>
        </w:numPr>
        <w:tabs>
          <w:tab w:val="clear" w:pos="720"/>
          <w:tab w:val="left" w:pos="0" w:leader="none"/>
        </w:tabs>
        <w:bidi w:val="0"/>
        <w:spacing w:lineRule="auto" w:line="288" w:before="0" w:after="0"/>
        <w:ind w:left="707" w:right="0" w:hanging="283"/>
        <w:jc w:val="both"/>
        <w:rPr/>
      </w:pPr>
      <w:r>
        <w:rPr>
          <w:rFonts w:ascii="Calibri;sans-serif" w:hAnsi="Calibri;sans-serif"/>
          <w:b w:val="false"/>
          <w:i w:val="false"/>
          <w:caps w:val="false"/>
          <w:smallCaps w:val="false"/>
          <w:strike w:val="false"/>
          <w:dstrike w:val="false"/>
          <w:color w:val="000000"/>
          <w:sz w:val="22"/>
          <w:u w:val="none"/>
          <w:effect w:val="none"/>
        </w:rPr>
        <w:t>En los últimos días de curso, se realizará una recuperación final previa a la evaluación final ordinaria. Los alumnos que tengan alguna evaluación suspendida y que no puedan obtener una calificación final de aprobado según el punto anterior, podrán examinarse sólo de la evaluación o evaluaciones que tengan suspendidas.</w:t>
      </w:r>
    </w:p>
    <w:p>
      <w:pPr>
        <w:pStyle w:val="Cuerpodetexto"/>
        <w:rPr/>
      </w:pPr>
      <w:r>
        <w:rPr/>
      </w:r>
    </w:p>
    <w:p>
      <w:pPr>
        <w:pStyle w:val="Cuerpodetexto"/>
        <w:numPr>
          <w:ilvl w:val="0"/>
          <w:numId w:val="17"/>
        </w:numPr>
        <w:tabs>
          <w:tab w:val="clear" w:pos="720"/>
          <w:tab w:val="left" w:pos="0" w:leader="none"/>
        </w:tabs>
        <w:bidi w:val="0"/>
        <w:spacing w:lineRule="auto" w:line="288" w:before="0" w:after="0"/>
        <w:ind w:left="707" w:right="0" w:hanging="283"/>
        <w:jc w:val="both"/>
        <w:rPr/>
      </w:pPr>
      <w:r>
        <w:rPr>
          <w:rFonts w:ascii="Calibri;sans-serif" w:hAnsi="Calibri;sans-serif"/>
          <w:b w:val="false"/>
          <w:i w:val="false"/>
          <w:caps w:val="false"/>
          <w:smallCaps w:val="false"/>
          <w:strike w:val="false"/>
          <w:dstrike w:val="false"/>
          <w:color w:val="000000"/>
          <w:sz w:val="22"/>
          <w:u w:val="none"/>
          <w:effect w:val="none"/>
        </w:rPr>
        <w:t>La nota de la materia en la evaluación final ordinaria se obtendrá realizando la media ponderada de las obtenidas en las tres evaluaciones (o la que haya obtenido tras realizar las recuperaciones).</w:t>
      </w:r>
    </w:p>
    <w:p>
      <w:pPr>
        <w:pStyle w:val="Cuerpodetexto"/>
        <w:rPr/>
      </w:pPr>
      <w:r>
        <w:rPr/>
      </w:r>
    </w:p>
    <w:p>
      <w:pPr>
        <w:pStyle w:val="Cuerpodetexto"/>
        <w:numPr>
          <w:ilvl w:val="0"/>
          <w:numId w:val="0"/>
        </w:numPr>
        <w:bidi w:val="0"/>
        <w:spacing w:lineRule="auto" w:line="288" w:before="0" w:after="0"/>
        <w:ind w:left="707"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r>
    </w:p>
    <w:p>
      <w:pPr>
        <w:pStyle w:val="Cuerpodetexto"/>
        <w:rPr/>
      </w:pPr>
      <w:r>
        <w:rPr/>
      </w:r>
    </w:p>
    <w:p>
      <w:pPr>
        <w:pStyle w:val="Cuerpodetexto"/>
        <w:bidi w:val="0"/>
        <w:spacing w:lineRule="auto" w:line="288" w:before="0" w:after="0"/>
        <w:rPr/>
      </w:pPr>
      <w:r>
        <w:rPr>
          <w:rFonts w:ascii="Calibri;sans-serif" w:hAnsi="Calibri;sans-serif"/>
          <w:b w:val="false"/>
          <w:i w:val="false"/>
          <w:caps w:val="false"/>
          <w:smallCaps w:val="false"/>
          <w:strike w:val="false"/>
          <w:dstrike w:val="false"/>
          <w:color w:val="auto"/>
          <w:sz w:val="22"/>
          <w:u w:val="none"/>
          <w:effect w:val="none"/>
        </w:rPr>
        <w:t>Los exámenes se diseñan  de tal forma que el 75% se reparta entre las competencias específicas 1, 2 y 3.1 y 3.2 como se indica en este cuadro</w:t>
      </w:r>
    </w:p>
    <w:p>
      <w:pPr>
        <w:pStyle w:val="Cuerpodetexto"/>
        <w:rPr>
          <w:color w:val="auto"/>
        </w:rPr>
      </w:pPr>
      <w:r>
        <w:rPr>
          <w:color w:val="auto"/>
        </w:rPr>
      </w:r>
    </w:p>
    <w:p>
      <w:pPr>
        <w:pStyle w:val="Cuerpodetexto"/>
        <w:bidi w:val="0"/>
        <w:spacing w:lineRule="auto" w:line="288" w:before="0" w:after="0"/>
        <w:rPr/>
      </w:pPr>
      <w:r>
        <w:rPr>
          <w:caps w:val="false"/>
          <w:smallCaps w:val="false"/>
          <w:strike w:val="false"/>
          <w:dstrike w:val="false"/>
          <w:color w:val="auto"/>
          <w:u w:val="none"/>
          <w:effect w:val="none"/>
        </w:rPr>
        <w:t> </w:t>
      </w:r>
      <w:r>
        <w:rPr>
          <w:rFonts w:ascii="Calibri;sans-serif" w:hAnsi="Calibri;sans-serif"/>
          <w:b w:val="false"/>
          <w:i w:val="false"/>
          <w:caps w:val="false"/>
          <w:smallCaps w:val="false"/>
          <w:strike w:val="false"/>
          <w:dstrike w:val="false"/>
          <w:color w:val="auto"/>
          <w:sz w:val="22"/>
          <w:u w:val="none"/>
          <w:effect w:val="none"/>
        </w:rPr>
        <w:t>Las actividades que suponen el 25% estarán diseñadas para cumplir el reparto entre las competencias 3.3, 4, 5 y 6 como se indica en este cuadro. . </w:t>
      </w:r>
    </w:p>
    <w:p>
      <w:pPr>
        <w:pStyle w:val="Cuerpodetexto"/>
        <w:spacing w:before="0" w:after="0"/>
        <w:rPr/>
      </w:pPr>
      <w:r>
        <w:rPr/>
      </w:r>
    </w:p>
    <w:tbl>
      <w:tblPr>
        <w:tblW w:w="8504" w:type="dxa"/>
        <w:jc w:val="left"/>
        <w:tblInd w:w="0" w:type="dxa"/>
        <w:tblCellMar>
          <w:top w:w="100" w:type="dxa"/>
          <w:left w:w="100" w:type="dxa"/>
          <w:bottom w:w="100" w:type="dxa"/>
          <w:right w:w="100" w:type="dxa"/>
        </w:tblCellMar>
      </w:tblPr>
      <w:tblGrid>
        <w:gridCol w:w="1971"/>
        <w:gridCol w:w="741"/>
        <w:gridCol w:w="2480"/>
        <w:gridCol w:w="3311"/>
      </w:tblGrid>
      <w:tr>
        <w:trPr/>
        <w:tc>
          <w:tcPr>
            <w:tcW w:w="197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COMPETENCIAS ESPECÍFICAS</w:t>
            </w:r>
          </w:p>
        </w:tc>
        <w:tc>
          <w:tcPr>
            <w:tcW w:w="74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rPr/>
            </w:pPr>
            <w:r>
              <w:rPr>
                <w:rFonts w:ascii="Calibri;sans-serif" w:hAnsi="Calibri;sans-serif"/>
                <w:b/>
                <w:i w:val="false"/>
                <w:caps w:val="false"/>
                <w:smallCaps w:val="false"/>
                <w:strike w:val="false"/>
                <w:dstrike w:val="false"/>
                <w:color w:val="000000"/>
                <w:sz w:val="22"/>
                <w:u w:val="none"/>
                <w:effect w:val="none"/>
              </w:rPr>
              <w:t>CRITERIOS DE EVALUACIÓN</w:t>
            </w:r>
          </w:p>
        </w:tc>
        <w:tc>
          <w:tcPr>
            <w:tcW w:w="331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INSTRUMENTOS DE EVALUACIÓN</w:t>
            </w:r>
          </w:p>
        </w:tc>
      </w:tr>
      <w:tr>
        <w:trPr/>
        <w:tc>
          <w:tcPr>
            <w:tcW w:w="197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1.</w:t>
            </w:r>
          </w:p>
        </w:tc>
        <w:tc>
          <w:tcPr>
            <w:tcW w:w="74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32%</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1.1</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1.3 </w:t>
            </w:r>
          </w:p>
        </w:tc>
        <w:tc>
          <w:tcPr>
            <w:tcW w:w="331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7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FQ.2</w:t>
            </w:r>
          </w:p>
        </w:tc>
        <w:tc>
          <w:tcPr>
            <w:tcW w:w="74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27%</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2.3.</w:t>
            </w:r>
          </w:p>
        </w:tc>
        <w:tc>
          <w:tcPr>
            <w:tcW w:w="331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7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FQ.3.</w:t>
            </w:r>
          </w:p>
        </w:tc>
        <w:tc>
          <w:tcPr>
            <w:tcW w:w="74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22%</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3.1. y3.2.  16% </w:t>
            </w:r>
          </w:p>
          <w:p>
            <w:pPr>
              <w:pStyle w:val="Contenidodelatabla"/>
              <w:bidi w:val="0"/>
              <w:spacing w:lineRule="auto" w:line="288" w:before="0" w:after="0"/>
              <w:rPr/>
            </w:pPr>
            <w:r>
              <w:rPr>
                <w:rFonts w:ascii="Calibri;sans-serif" w:hAnsi="Calibri;sans-serif"/>
                <w:b w:val="false"/>
                <w:i w:val="false"/>
                <w:caps w:val="false"/>
                <w:smallCaps w:val="false"/>
                <w:strike w:val="false"/>
                <w:dstrike w:val="false"/>
                <w:color w:val="000000"/>
                <w:sz w:val="22"/>
                <w:u w:val="none"/>
                <w:effect w:val="none"/>
              </w:rPr>
              <w:t>3.3                6%</w:t>
            </w:r>
          </w:p>
        </w:tc>
        <w:tc>
          <w:tcPr>
            <w:tcW w:w="331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 3.1 y 3.2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EJERCICIOS DE CLASE, Y CASA 3.3 </w:t>
            </w:r>
          </w:p>
          <w:p>
            <w:pPr>
              <w:pStyle w:val="Contenidodelatabla"/>
              <w:bidi w:val="0"/>
              <w:spacing w:lineRule="auto" w:line="288" w:before="0" w:after="0"/>
              <w:jc w:val="both"/>
              <w:rPr/>
            </w:pPr>
            <w:r>
              <w:rPr>
                <w:caps w:val="false"/>
                <w:smallCaps w:val="false"/>
                <w:strike w:val="false"/>
                <w:dstrike w:val="false"/>
                <w:color w:val="000000"/>
                <w:u w:val="none"/>
                <w:effect w:val="none"/>
              </w:rPr>
              <w:t> </w:t>
            </w:r>
            <w:r>
              <w:rPr>
                <w:rFonts w:ascii="Calibri;sans-serif" w:hAnsi="Calibri;sans-serif"/>
                <w:b w:val="false"/>
                <w:i w:val="false"/>
                <w:caps w:val="false"/>
                <w:smallCaps w:val="false"/>
                <w:strike w:val="false"/>
                <w:dstrike w:val="false"/>
                <w:color w:val="000000"/>
                <w:sz w:val="22"/>
                <w:u w:val="none"/>
                <w:effect w:val="none"/>
              </w:rPr>
              <w:t>INFORMES DE LABORATORIO 3.3 </w:t>
            </w:r>
          </w:p>
        </w:tc>
      </w:tr>
      <w:tr>
        <w:trPr/>
        <w:tc>
          <w:tcPr>
            <w:tcW w:w="197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FQ.4.</w:t>
            </w:r>
          </w:p>
        </w:tc>
        <w:tc>
          <w:tcPr>
            <w:tcW w:w="74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7%</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4.2 </w:t>
            </w:r>
          </w:p>
        </w:tc>
        <w:tc>
          <w:tcPr>
            <w:tcW w:w="331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ACTIVIDADES DE MANEJO DE LA INFORMACIÓN</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tc>
      </w:tr>
      <w:tr>
        <w:trPr/>
        <w:tc>
          <w:tcPr>
            <w:tcW w:w="197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5</w:t>
            </w:r>
          </w:p>
        </w:tc>
        <w:tc>
          <w:tcPr>
            <w:tcW w:w="74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5.2</w:t>
            </w:r>
          </w:p>
        </w:tc>
        <w:tc>
          <w:tcPr>
            <w:tcW w:w="331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 </w:t>
            </w:r>
          </w:p>
        </w:tc>
      </w:tr>
      <w:tr>
        <w:trPr/>
        <w:tc>
          <w:tcPr>
            <w:tcW w:w="197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FQ.6.</w:t>
            </w:r>
          </w:p>
        </w:tc>
        <w:tc>
          <w:tcPr>
            <w:tcW w:w="74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6.2</w:t>
            </w:r>
          </w:p>
        </w:tc>
        <w:tc>
          <w:tcPr>
            <w:tcW w:w="331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 </w:t>
            </w:r>
          </w:p>
        </w:tc>
      </w:tr>
    </w:tbl>
    <w:p>
      <w:pPr>
        <w:pStyle w:val="Cuerpodetexto"/>
        <w:rPr/>
      </w:pPr>
      <w:r>
        <w:rPr>
          <w:b w:val="false"/>
        </w:rPr>
        <w:br/>
      </w:r>
    </w:p>
    <w:p>
      <w:pPr>
        <w:pStyle w:val="Normal"/>
        <w:jc w:val="both"/>
        <w:rPr/>
      </w:pPr>
      <w:r>
        <w:rPr>
          <w:rFonts w:eastAsia="Cambria" w:cs="Cambria"/>
          <w:b/>
          <w:sz w:val="22"/>
          <w:szCs w:val="22"/>
          <w:u w:val="single"/>
        </w:rPr>
        <w:t>5. EVALUACIÓN INICIAL</w:t>
      </w:r>
    </w:p>
    <w:p>
      <w:pPr>
        <w:pStyle w:val="Normal"/>
        <w:tabs>
          <w:tab w:val="clear" w:pos="720"/>
          <w:tab w:val="left" w:pos="284" w:leader="none"/>
        </w:tabs>
        <w:ind w:firstLine="284"/>
        <w:jc w:val="both"/>
        <w:rPr/>
      </w:pPr>
      <w:r>
        <w:rPr>
          <w:sz w:val="22"/>
          <w:szCs w:val="22"/>
        </w:rPr>
        <w:t>El proceso de enseñanza y del aprendizaje de alumnos y alumnas se dirige hacia el logro de una serie de objetivos, lo que implica partir de un "estado inicial" (que debe conocerse) sobre el que se irán operando los cambios producidos por el proceso enseñanza-aprendizaje.</w:t>
      </w:r>
    </w:p>
    <w:p>
      <w:pPr>
        <w:pStyle w:val="Normal"/>
        <w:tabs>
          <w:tab w:val="clear" w:pos="720"/>
          <w:tab w:val="left" w:pos="284" w:leader="none"/>
        </w:tabs>
        <w:ind w:firstLine="284"/>
        <w:jc w:val="both"/>
        <w:rPr/>
      </w:pPr>
      <w:r>
        <w:rPr>
          <w:sz w:val="22"/>
          <w:szCs w:val="22"/>
        </w:rPr>
        <w:t>El conocimiento de los niveles, características y necesidades de los alumnos nos permitirán tomar una serie de decisiones relativas a:</w:t>
      </w:r>
    </w:p>
    <w:p>
      <w:pPr>
        <w:pStyle w:val="Normal"/>
        <w:numPr>
          <w:ilvl w:val="0"/>
          <w:numId w:val="2"/>
        </w:numPr>
        <w:tabs>
          <w:tab w:val="clear" w:pos="720"/>
          <w:tab w:val="left" w:pos="284" w:leader="none"/>
        </w:tabs>
        <w:spacing w:before="0" w:after="0"/>
        <w:ind w:left="284" w:hanging="0"/>
        <w:jc w:val="both"/>
        <w:rPr/>
      </w:pPr>
      <w:r>
        <w:rPr>
          <w:sz w:val="22"/>
          <w:szCs w:val="22"/>
        </w:rPr>
        <w:t>planificar y programar las actividades docentes.</w:t>
      </w:r>
    </w:p>
    <w:p>
      <w:pPr>
        <w:pStyle w:val="Normal"/>
        <w:numPr>
          <w:ilvl w:val="0"/>
          <w:numId w:val="2"/>
        </w:numPr>
        <w:tabs>
          <w:tab w:val="clear" w:pos="720"/>
          <w:tab w:val="left" w:pos="284" w:leader="none"/>
        </w:tabs>
        <w:spacing w:before="0" w:after="0"/>
        <w:ind w:left="284" w:hanging="0"/>
        <w:jc w:val="both"/>
        <w:rPr/>
      </w:pPr>
      <w:r>
        <w:rPr>
          <w:sz w:val="22"/>
          <w:szCs w:val="22"/>
        </w:rPr>
        <w:t>adoptar medidas de atención a la diversidad en el aula.</w:t>
      </w:r>
    </w:p>
    <w:p>
      <w:pPr>
        <w:pStyle w:val="Normal"/>
        <w:numPr>
          <w:ilvl w:val="0"/>
          <w:numId w:val="2"/>
        </w:numPr>
        <w:tabs>
          <w:tab w:val="clear" w:pos="720"/>
          <w:tab w:val="left" w:pos="284" w:leader="none"/>
        </w:tabs>
        <w:ind w:left="284" w:hanging="0"/>
        <w:jc w:val="both"/>
        <w:rPr/>
      </w:pPr>
      <w:r>
        <w:rPr>
          <w:sz w:val="22"/>
          <w:szCs w:val="22"/>
        </w:rPr>
        <w:t>metodologías a emplear.</w:t>
      </w:r>
    </w:p>
    <w:p>
      <w:pPr>
        <w:pStyle w:val="Normal"/>
        <w:tabs>
          <w:tab w:val="clear" w:pos="720"/>
          <w:tab w:val="left" w:pos="284" w:leader="none"/>
        </w:tabs>
        <w:ind w:firstLine="284"/>
        <w:jc w:val="both"/>
        <w:rPr/>
      </w:pPr>
      <w:r>
        <w:rPr>
          <w:sz w:val="22"/>
          <w:szCs w:val="22"/>
        </w:rPr>
        <w:t>El proceso de evaluación inicial exige que se atienda más a los posibles recursos y capacidades de los alumnos que a las posibles deficiencias que presenten, aunque sin olvidar éstas.</w:t>
      </w:r>
    </w:p>
    <w:p>
      <w:pPr>
        <w:pStyle w:val="Normal"/>
        <w:tabs>
          <w:tab w:val="clear" w:pos="720"/>
          <w:tab w:val="left" w:pos="284" w:leader="none"/>
        </w:tabs>
        <w:ind w:firstLine="284"/>
        <w:jc w:val="both"/>
        <w:rPr/>
      </w:pPr>
      <w:r>
        <w:rPr>
          <w:sz w:val="22"/>
          <w:szCs w:val="22"/>
        </w:rPr>
        <w:t>Desde este supuesto lo primero que conviene explorar y conocer son las actitudes de los alumnos frente a los contenidos de la materia. El conocimiento de estas actitudes proporcionará datos valiosos para organizar unas actividades que fomenten la "motivación por aprender" en los alumnos/as. Esta información se recogerá a partir de la observación de los intereses del alumnado durante los primeros días del curso por parte del docente.</w:t>
      </w:r>
    </w:p>
    <w:p>
      <w:pPr>
        <w:pStyle w:val="Normal"/>
        <w:tabs>
          <w:tab w:val="clear" w:pos="720"/>
          <w:tab w:val="left" w:pos="284" w:leader="none"/>
        </w:tabs>
        <w:ind w:firstLine="284"/>
        <w:jc w:val="both"/>
        <w:rPr/>
      </w:pPr>
      <w:r>
        <w:rPr>
          <w:sz w:val="22"/>
          <w:szCs w:val="22"/>
        </w:rPr>
        <w:t>En segundo lugar, interesa conocer el grado de dominio de cada alumno/a de los contenidos relacionados con la materia de cursos anteriores. En este sentido, el instrumento principal para la recogida de información de cara a la evaluación inicial será una prueba escrita de tipo test que haga referencia principalmente a los contenidos de 2º de ESO (Física y Química), aunque también aparecen algunos de las materias de Matemáticas de 1º y 2º de ESO. Se ha optado por este tipo de prueba porque los alumnos/as menos motivados o con más dificultades suelen responder mejor a este tipo de prueba.</w:t>
      </w:r>
    </w:p>
    <w:p>
      <w:pPr>
        <w:pStyle w:val="Normal"/>
        <w:tabs>
          <w:tab w:val="clear" w:pos="720"/>
          <w:tab w:val="left" w:pos="284" w:leader="none"/>
        </w:tabs>
        <w:ind w:firstLine="284"/>
        <w:jc w:val="both"/>
        <w:rPr/>
      </w:pPr>
      <w:r>
        <w:rPr>
          <w:sz w:val="22"/>
          <w:szCs w:val="22"/>
        </w:rPr>
        <w:t xml:space="preserve"> </w:t>
      </w:r>
      <w:r>
        <w:rPr>
          <w:sz w:val="22"/>
          <w:szCs w:val="22"/>
        </w:rPr>
        <w:t>Esta prueba no tiene una finalidad clasificadora del alumnado, pero puede servir para la detección temprana de problemas y dificultades de aprendizaje en algunos alumnos/as.</w:t>
      </w:r>
    </w:p>
    <w:p>
      <w:pPr>
        <w:pStyle w:val="Normal"/>
        <w:tabs>
          <w:tab w:val="clear" w:pos="720"/>
          <w:tab w:val="left" w:pos="284" w:leader="none"/>
        </w:tabs>
        <w:ind w:firstLine="284"/>
        <w:jc w:val="both"/>
        <w:rPr/>
      </w:pPr>
      <w:r>
        <w:rPr>
          <w:sz w:val="22"/>
          <w:szCs w:val="22"/>
        </w:rPr>
        <w:t xml:space="preserve">Asimismo, es importante disponer de la información acumulada sobre el alumno/a a lo largo de su escolarización en el instituto, pudiéndose obtener de esta manera datos muy valiosos para la optimización del proceso enseñanza-aprendizaje. </w:t>
      </w:r>
    </w:p>
    <w:p>
      <w:pPr>
        <w:pStyle w:val="Normal"/>
        <w:tabs>
          <w:tab w:val="clear" w:pos="720"/>
          <w:tab w:val="left" w:pos="284" w:leader="none"/>
        </w:tabs>
        <w:ind w:firstLine="284"/>
        <w:jc w:val="both"/>
        <w:rPr/>
      </w:pPr>
      <w:r>
        <w:rPr>
          <w:sz w:val="22"/>
          <w:szCs w:val="22"/>
        </w:rPr>
        <w:t>En función de los datos que se obtengan de las diferentes fuentes de información indicadas se realizarán las siguientes acciones:</w:t>
      </w:r>
    </w:p>
    <w:p>
      <w:pPr>
        <w:pStyle w:val="Normal"/>
        <w:tabs>
          <w:tab w:val="clear" w:pos="720"/>
          <w:tab w:val="left" w:pos="284" w:leader="none"/>
        </w:tabs>
        <w:ind w:firstLine="567"/>
        <w:jc w:val="both"/>
        <w:rPr/>
      </w:pPr>
      <w:r>
        <w:rPr>
          <w:sz w:val="22"/>
          <w:szCs w:val="22"/>
        </w:rPr>
        <w:t>- Se establecerá el punto de partida del proceso de enseñanza-aprendizaje.</w:t>
      </w:r>
    </w:p>
    <w:p>
      <w:pPr>
        <w:pStyle w:val="Normal"/>
        <w:tabs>
          <w:tab w:val="clear" w:pos="720"/>
          <w:tab w:val="left" w:pos="284" w:leader="none"/>
        </w:tabs>
        <w:ind w:firstLine="567"/>
        <w:jc w:val="both"/>
        <w:rPr/>
      </w:pPr>
      <w:r>
        <w:rPr>
          <w:sz w:val="22"/>
          <w:szCs w:val="22"/>
        </w:rPr>
        <w:t xml:space="preserve"> </w:t>
      </w:r>
      <w:r>
        <w:rPr>
          <w:sz w:val="22"/>
          <w:szCs w:val="22"/>
        </w:rPr>
        <w:t>- Se adecuará el proceso de enseñanza a las características de los alumnos (tanto a nivel grupal como individual), diseñando las actividades de refuerzo para aquellos alumnos que lo necesiten.</w:t>
      </w:r>
    </w:p>
    <w:p>
      <w:pPr>
        <w:pStyle w:val="Normal"/>
        <w:tabs>
          <w:tab w:val="clear" w:pos="720"/>
          <w:tab w:val="left" w:pos="284" w:leader="none"/>
        </w:tabs>
        <w:ind w:firstLine="567"/>
        <w:jc w:val="both"/>
        <w:rPr/>
      </w:pPr>
      <w:r>
        <w:rPr>
          <w:sz w:val="22"/>
          <w:szCs w:val="22"/>
        </w:rPr>
        <w:t>- Se elaborarán las adaptaciones no significativas que sean precisas en colaboración con el departamento de Orientación.</w:t>
      </w:r>
    </w:p>
    <w:p>
      <w:pPr>
        <w:pStyle w:val="Normal"/>
        <w:tabs>
          <w:tab w:val="clear" w:pos="720"/>
          <w:tab w:val="left" w:pos="284" w:leader="none"/>
        </w:tabs>
        <w:ind w:firstLine="567"/>
        <w:jc w:val="both"/>
        <w:rPr/>
      </w:pPr>
      <w:r>
        <w:rPr>
          <w:sz w:val="22"/>
          <w:szCs w:val="22"/>
        </w:rPr>
        <w:t xml:space="preserve">- Se diseñará la metodología adecuada a la realidad y a los focos de interés de los alumnos/as del grupo. </w:t>
      </w:r>
    </w:p>
    <w:p>
      <w:pPr>
        <w:pStyle w:val="Normal"/>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cs="Cambria"/>
          <w:b/>
          <w:sz w:val="22"/>
          <w:szCs w:val="22"/>
          <w:u w:val="single"/>
        </w:rPr>
        <w:t xml:space="preserve">6. ACTUACIONES GENERALES DE ATENCIÓN A LAS DIFERENCIAS INDIVIDUALES Y ADAPTACIONES CURRICULARES </w:t>
      </w:r>
    </w:p>
    <w:p>
      <w:pPr>
        <w:pStyle w:val="Normal"/>
        <w:jc w:val="both"/>
        <w:rPr/>
      </w:pPr>
      <w:r>
        <w:rPr>
          <w:rFonts w:eastAsia="Cambria" w:cs="Cambria"/>
          <w:sz w:val="22"/>
          <w:szCs w:val="22"/>
        </w:rPr>
        <w:t xml:space="preserve">La </w:t>
      </w:r>
      <w:r>
        <w:rPr>
          <w:bCs/>
          <w:sz w:val="22"/>
          <w:szCs w:val="22"/>
        </w:rPr>
        <w:t xml:space="preserve">Orden ECD/1172/2022 establece en su Artículo 36 que: </w:t>
      </w:r>
    </w:p>
    <w:p>
      <w:pPr>
        <w:pStyle w:val="Normal"/>
        <w:jc w:val="both"/>
        <w:rPr/>
      </w:pPr>
      <w:r>
        <w:rPr>
          <w:i/>
          <w:sz w:val="22"/>
          <w:szCs w:val="22"/>
        </w:rPr>
        <w:t>1. La Educación Secundaria Obligatoria se organizará de acuerdo con los principios de educación común y de atención a la diversidad del alumnado. Con objeto de reforzar la inclusión y asegurar el derecho a una educación de calidad, en esta etapa se pondrá especial énfasis en la atención individualizada a los alumnos y a las alumnas, en la detección precoz de sus necesidades específicas y en el establecimiento de mecanismos de apoyo y refuerzo para evitar la permanencia en un mismo curso, particularmente en entornos socialmente vulnerables y teniendo en cuenta sus circunstancias y sus diferentes ritmos de aprendizaje.</w:t>
      </w:r>
    </w:p>
    <w:p>
      <w:pPr>
        <w:pStyle w:val="Normal"/>
        <w:ind w:firstLine="397"/>
        <w:jc w:val="both"/>
        <w:rPr/>
      </w:pPr>
      <w:r>
        <w:rPr>
          <w:sz w:val="22"/>
          <w:szCs w:val="22"/>
        </w:rPr>
        <w:t xml:space="preserve">De forma que en cualquier caso se debe garantizar que todos los alumnos/as de cada grupo alcancen el máximo desarrollo posible de sus capacidades, utilizando para ello los medios que sean necesarios. En la materia de Física y Química en 3º de ESO se llevarán a cabo las siguientes estrategias para atender a la diversidad del alumnado: </w:t>
      </w:r>
    </w:p>
    <w:p>
      <w:pPr>
        <w:pStyle w:val="Normal"/>
        <w:numPr>
          <w:ilvl w:val="0"/>
          <w:numId w:val="3"/>
        </w:numPr>
        <w:jc w:val="both"/>
        <w:rPr/>
      </w:pPr>
      <w:r>
        <w:rPr>
          <w:sz w:val="22"/>
          <w:szCs w:val="22"/>
        </w:rPr>
        <w:t xml:space="preserve">Atención individualizada a cada alumno/a: el docente atenderá de forma individual a cada alumno/a durante las clases para orientarlo en sus aprendizajes, para resolver sus dudas y para estar al día de sus progresos. </w:t>
      </w:r>
    </w:p>
    <w:p>
      <w:pPr>
        <w:pStyle w:val="Normal"/>
        <w:numPr>
          <w:ilvl w:val="0"/>
          <w:numId w:val="3"/>
        </w:numPr>
        <w:jc w:val="both"/>
        <w:rPr/>
      </w:pPr>
      <w:r>
        <w:rPr>
          <w:sz w:val="22"/>
          <w:szCs w:val="22"/>
        </w:rPr>
        <w:t xml:space="preserve">Actividades de refuerzo: para aquellos alumnos/as que muestren dificultades en la adquisición de nuevos aprendizajes se propondrán actividades que sirvan para afianzar los contenidos mínimos de la materia. En este sentido, también se facilitarán a los alumnos/as hojas con ejercicios/problemas y sus soluciones para que puedan repasar de forma autónoma. </w:t>
      </w:r>
    </w:p>
    <w:p>
      <w:pPr>
        <w:pStyle w:val="Normal"/>
        <w:numPr>
          <w:ilvl w:val="0"/>
          <w:numId w:val="3"/>
        </w:numPr>
        <w:jc w:val="both"/>
        <w:rPr/>
      </w:pPr>
      <w:r>
        <w:rPr>
          <w:sz w:val="22"/>
          <w:szCs w:val="22"/>
        </w:rPr>
        <w:t xml:space="preserve">Actividades de ampliación: serán actividades que impliquen una profundización en los contenidos de la asignatura. Serán de carácter voluntario y su realización podrá implicar un aumento en la calificación de una evaluación de hasta medio punto. </w:t>
      </w:r>
    </w:p>
    <w:p>
      <w:pPr>
        <w:pStyle w:val="Normal"/>
        <w:tabs>
          <w:tab w:val="clear" w:pos="720"/>
          <w:tab w:val="left" w:pos="284" w:leader="none"/>
        </w:tabs>
        <w:ind w:firstLine="284"/>
        <w:jc w:val="both"/>
        <w:rPr/>
      </w:pPr>
      <w:r>
        <w:rPr>
          <w:sz w:val="22"/>
          <w:szCs w:val="22"/>
        </w:rPr>
        <w:t xml:space="preserve">Mientras que en referencia al alumnado con necesidad específica de apoyo educativo en la Orden ECD/1172/2022 se sostiene que: </w:t>
      </w:r>
    </w:p>
    <w:p>
      <w:pPr>
        <w:pStyle w:val="Normal"/>
        <w:tabs>
          <w:tab w:val="clear" w:pos="720"/>
          <w:tab w:val="left" w:pos="284" w:leader="none"/>
        </w:tabs>
        <w:ind w:firstLine="284"/>
        <w:jc w:val="both"/>
        <w:rPr/>
      </w:pPr>
      <w:r>
        <w:rPr>
          <w:i/>
          <w:sz w:val="22"/>
          <w:szCs w:val="22"/>
        </w:rPr>
        <w:t xml:space="preserve">Se adoptarán medidas curriculares y organizativas inclusivas para asegurar que el alumnado con necesidad específica de apoyo educativo pueda alcanzar los objetivos y las competencias de la etapa y el máximo desarrollo de sus capacidades personales. </w:t>
      </w:r>
    </w:p>
    <w:p>
      <w:pPr>
        <w:pStyle w:val="Normal"/>
        <w:tabs>
          <w:tab w:val="clear" w:pos="720"/>
          <w:tab w:val="left" w:pos="284" w:leader="none"/>
        </w:tabs>
        <w:ind w:firstLine="284"/>
        <w:jc w:val="both"/>
        <w:rPr/>
      </w:pPr>
      <w:r>
        <w:rPr>
          <w:sz w:val="22"/>
          <w:szCs w:val="22"/>
        </w:rPr>
        <w:t>Por tanto, para los alumnos ACNEAES se realizarán las adaptaciones que sean necesarias, tanto generales como específicas, de forma coordinada con el Departamento de Orientación del centro.  En el caso de que haya que elaborar actuaciones específicas de intervención educativa (adaptaciones significativas), se adaptarán los contenidos de la materia así como los criterios y los instrumentos de evaluación a la situación académica del alumno/a. En esos casos, tanto el departamento de Física y Química como el departamento de Orientación dispondrán de una copia de la actuación específica de intervención educativa de la materia.</w:t>
      </w:r>
    </w:p>
    <w:p>
      <w:pPr>
        <w:pStyle w:val="Normal"/>
        <w:tabs>
          <w:tab w:val="clear" w:pos="720"/>
          <w:tab w:val="left" w:pos="284" w:leader="none"/>
        </w:tabs>
        <w:ind w:firstLine="284"/>
        <w:jc w:val="both"/>
        <w:rPr>
          <w:rFonts w:ascii="Calibri" w:hAnsi="Calibri"/>
          <w:sz w:val="22"/>
          <w:szCs w:val="22"/>
        </w:rPr>
      </w:pPr>
      <w:r>
        <w:rPr>
          <w:sz w:val="22"/>
          <w:szCs w:val="22"/>
        </w:rPr>
      </w:r>
    </w:p>
    <w:p>
      <w:pPr>
        <w:pStyle w:val="Normal"/>
        <w:jc w:val="both"/>
        <w:rPr/>
      </w:pPr>
      <w:r>
        <w:rPr>
          <w:rFonts w:eastAsia="Cambria" w:cs="Cambria"/>
          <w:b/>
          <w:sz w:val="22"/>
          <w:szCs w:val="22"/>
          <w:u w:val="single"/>
        </w:rPr>
        <w:t>7. PLAN DE SEGUIMIENTO PARA EL ALUMNADO QUE NO HA PROMOCIONADO</w:t>
      </w:r>
    </w:p>
    <w:p>
      <w:pPr>
        <w:pStyle w:val="Normal"/>
        <w:tabs>
          <w:tab w:val="clear" w:pos="720"/>
          <w:tab w:val="left" w:pos="284" w:leader="none"/>
        </w:tabs>
        <w:ind w:firstLine="284"/>
        <w:jc w:val="both"/>
        <w:rPr/>
      </w:pPr>
      <w:r>
        <w:rPr>
          <w:color w:val="000000"/>
          <w:sz w:val="22"/>
          <w:szCs w:val="22"/>
        </w:rPr>
        <w:t>El profesor/a de la materia prestará especial atención a los alumnos que, habiendo repetido curso, no hubiesen superado la materia de Física y Química en el año anterior. Como punto de inicio se partirá del informe que el profesor del curso anterior hubiese emitido sobre el alumno/a. Se analizarán los criterios de evaluación no superados para tener una primera aproximación a las dificultades mostradas por el alumno. Con estos datos se prepararán actividades de refuerzo para aquellos contenidos en los que el alumno hubiese mostrado más dificultad. Estas actividades se realizarán en el momento del curso en que se traten dichos contenidos, siempre que el interés, la actitud y el compromiso del alumno/a por la materia sean adecuados. Asimismo, se animará a estos alumnos a que manifiesten en qué puntos concretos encuentran una mayor dificultad, poniéndose el profesor/a de la materia a disposición de los alumnos para resolver todas aquellas dudas que les pudiesen surgir.</w:t>
      </w:r>
    </w:p>
    <w:p>
      <w:pPr>
        <w:pStyle w:val="Normal"/>
        <w:jc w:val="both"/>
        <w:rPr>
          <w:rFonts w:ascii="Calibri" w:hAnsi="Calibri" w:eastAsia="Cambria" w:cs="Cambria"/>
          <w:sz w:val="22"/>
          <w:szCs w:val="22"/>
        </w:rPr>
      </w:pPr>
      <w:r>
        <w:rPr>
          <w:rFonts w:eastAsia="Cambria" w:cs="Cambria"/>
          <w:sz w:val="22"/>
          <w:szCs w:val="22"/>
        </w:rPr>
      </w:r>
    </w:p>
    <w:p>
      <w:pPr>
        <w:pStyle w:val="Normal"/>
        <w:keepNext w:val="true"/>
        <w:jc w:val="both"/>
        <w:rPr/>
      </w:pPr>
      <w:r>
        <w:rPr>
          <w:rFonts w:eastAsia="Cambria" w:cs="Cambria"/>
          <w:b/>
          <w:sz w:val="22"/>
          <w:szCs w:val="22"/>
          <w:u w:val="single"/>
        </w:rPr>
        <w:t>8. PLAN DE REFUERZO PARA MATERIAS O ÁMBITOS NO SUPERADOS</w:t>
      </w:r>
    </w:p>
    <w:p>
      <w:pPr>
        <w:pStyle w:val="Normal"/>
        <w:ind w:firstLine="284"/>
        <w:jc w:val="both"/>
        <w:rPr/>
      </w:pPr>
      <w:r>
        <w:rPr>
          <w:rFonts w:eastAsia="Cambria" w:cs="Calibri" w:cstheme="minorHAnsi"/>
          <w:sz w:val="22"/>
          <w:szCs w:val="22"/>
        </w:rPr>
        <w:t>Según lo establecido en el Artículo 20 de la Orden quienes promocionen sin haber superado todas las materias o ámbitos deberán matricularse de las materias o ámbitos no superados y seguirán los planes de refuerzo personalizados que establezcan los departamentos. Los planes de refuerzo personalizados se organizarán para cada alumno o cada alumna teniendo en cuenta las dificultades de aprendizaje que motivaron la no superación de la materia o ámbito. También se afirma en la legislación que p</w:t>
      </w:r>
      <w:r>
        <w:rPr>
          <w:rFonts w:cs="Calibri" w:cstheme="minorHAnsi"/>
          <w:sz w:val="22"/>
          <w:szCs w:val="22"/>
        </w:rPr>
        <w:t>ara la evaluación de las materias o ámbitos no superados se tendrán en cuenta los progresos que el alumnado realice en las actividades del plan de refuerzo personalizado, así como su evolución en las materias o ámbitos correspondientes en el curso siguiente. Además, l</w:t>
      </w:r>
      <w:r>
        <w:rPr>
          <w:rFonts w:eastAsia="Cambria" w:cs="Calibri" w:cstheme="minorHAnsi"/>
          <w:sz w:val="22"/>
          <w:szCs w:val="22"/>
        </w:rPr>
        <w:t>as familias deberán ser informadas de dicho plan a principio de curso y al menos una vez al trimestre se les informará de los resultados de esta evaluación a través del boletín de notas.</w:t>
      </w:r>
    </w:p>
    <w:p>
      <w:pPr>
        <w:pStyle w:val="Normal"/>
        <w:tabs>
          <w:tab w:val="clear" w:pos="720"/>
          <w:tab w:val="left" w:pos="284" w:leader="none"/>
        </w:tabs>
        <w:ind w:firstLine="284"/>
        <w:jc w:val="both"/>
        <w:rPr/>
      </w:pPr>
      <w:r>
        <w:rPr>
          <w:rFonts w:eastAsia="Cambria" w:cs="Calibri" w:cstheme="minorHAnsi"/>
          <w:sz w:val="22"/>
          <w:szCs w:val="22"/>
        </w:rPr>
        <w:t>Por tanto,  a</w:t>
      </w:r>
      <w:r>
        <w:rPr>
          <w:rFonts w:cs="Calibri" w:cstheme="minorHAnsi"/>
          <w:sz w:val="22"/>
          <w:szCs w:val="22"/>
        </w:rPr>
        <w:t xml:space="preserve">quellos alumnos/as que no hayan superado la materia de Física y Química de 3º de ESO y que ahora estén matriculados en algún curso superior, deberán seguir un programa de refuerzo establecido por el departamento para recuperar los aprendizajes no adquiridos y superar las evaluaciones correspondientes a  dicho programa. Este programa contará con las siguientes características: </w:t>
      </w:r>
    </w:p>
    <w:p>
      <w:pPr>
        <w:pStyle w:val="Normal"/>
        <w:numPr>
          <w:ilvl w:val="0"/>
          <w:numId w:val="4"/>
        </w:numPr>
        <w:tabs>
          <w:tab w:val="clear" w:pos="720"/>
          <w:tab w:val="left" w:pos="284" w:leader="none"/>
        </w:tabs>
        <w:jc w:val="both"/>
        <w:rPr/>
      </w:pPr>
      <w:r>
        <w:rPr>
          <w:color w:val="000000"/>
          <w:sz w:val="22"/>
          <w:szCs w:val="22"/>
        </w:rPr>
        <w:t xml:space="preserve">A principio de curso se informará a cada alumno/a en esta situación de las fechas de las pruebas (una por evaluación) y se le facilitará un dossier de actividades relacionadas con los criterios de evaluación que deberá realizar para poder recuperar los criterios de cada evaluación. Cada alumno/a firmará el acuse de recibo una vez que haya recibido esta documentación, quedando registrado en el departamento. </w:t>
      </w:r>
    </w:p>
    <w:p>
      <w:pPr>
        <w:pStyle w:val="Normal"/>
        <w:numPr>
          <w:ilvl w:val="0"/>
          <w:numId w:val="4"/>
        </w:numPr>
        <w:tabs>
          <w:tab w:val="clear" w:pos="720"/>
          <w:tab w:val="left" w:pos="284" w:leader="none"/>
        </w:tabs>
        <w:jc w:val="both"/>
        <w:rPr/>
      </w:pPr>
      <w:r>
        <w:rPr>
          <w:color w:val="000000"/>
          <w:sz w:val="22"/>
          <w:szCs w:val="22"/>
        </w:rPr>
        <w:t xml:space="preserve">El jefe de departamento informará al principio del curso a las familias de los alumnos/as que se encuentren en esta situación del funcionamiento del programa de refuerzo y de la fecha de la prueba escrita correspondiente a la primera evaluación. </w:t>
      </w:r>
    </w:p>
    <w:p>
      <w:pPr>
        <w:pStyle w:val="Normal"/>
        <w:numPr>
          <w:ilvl w:val="0"/>
          <w:numId w:val="4"/>
        </w:numPr>
        <w:tabs>
          <w:tab w:val="clear" w:pos="720"/>
          <w:tab w:val="left" w:pos="284" w:leader="none"/>
        </w:tabs>
        <w:jc w:val="both"/>
        <w:rPr/>
      </w:pPr>
      <w:r>
        <w:rPr>
          <w:color w:val="000000"/>
          <w:sz w:val="22"/>
          <w:szCs w:val="22"/>
        </w:rPr>
        <w:t xml:space="preserve">El jefe de departamento y los profesores de la materia en 3º de ESO, estarán a disposición de estos alumnos/as para resolver las dudas que pudieran tener durante la elaboración de los dosieres. Las dudas se resolverán bien en el aula, bien por vía telemática o concertando una cita previa con el docente en un recreo.  </w:t>
      </w:r>
    </w:p>
    <w:p>
      <w:pPr>
        <w:pStyle w:val="Normal"/>
        <w:numPr>
          <w:ilvl w:val="0"/>
          <w:numId w:val="4"/>
        </w:numPr>
        <w:tabs>
          <w:tab w:val="clear" w:pos="720"/>
          <w:tab w:val="left" w:pos="284" w:leader="none"/>
        </w:tabs>
        <w:jc w:val="both"/>
        <w:rPr/>
      </w:pPr>
      <w:r>
        <w:rPr>
          <w:color w:val="000000"/>
          <w:sz w:val="22"/>
          <w:szCs w:val="22"/>
        </w:rPr>
        <w:t xml:space="preserve">Si se considera oportuno, el jefe de departamento puede convocar de manera voluntaria a los alumnos/as con la materia no superada  para la realización de clases breves de repaso. </w:t>
      </w:r>
    </w:p>
    <w:p>
      <w:pPr>
        <w:pStyle w:val="Normal"/>
        <w:numPr>
          <w:ilvl w:val="0"/>
          <w:numId w:val="4"/>
        </w:numPr>
        <w:tabs>
          <w:tab w:val="clear" w:pos="720"/>
          <w:tab w:val="left" w:pos="284" w:leader="none"/>
        </w:tabs>
        <w:jc w:val="both"/>
        <w:rPr/>
      </w:pPr>
      <w:r>
        <w:rPr>
          <w:color w:val="000000"/>
          <w:sz w:val="22"/>
          <w:szCs w:val="22"/>
        </w:rPr>
        <w:t xml:space="preserve">El dossier de ejercicios de cada evaluación será entregado en forma y fecha a través de Google Classroom y corregido por el jefe de departamento. La calificación obtenida en dicho dossier tendrá una repercusión del 30 % en la calificación de la evaluación correspondiente. </w:t>
        <w:tab/>
        <w:tab/>
      </w:r>
    </w:p>
    <w:p>
      <w:pPr>
        <w:pStyle w:val="Normal"/>
        <w:numPr>
          <w:ilvl w:val="0"/>
          <w:numId w:val="4"/>
        </w:numPr>
        <w:tabs>
          <w:tab w:val="clear" w:pos="720"/>
          <w:tab w:val="left" w:pos="284" w:leader="none"/>
        </w:tabs>
        <w:jc w:val="both"/>
        <w:rPr/>
      </w:pPr>
      <w:r>
        <w:rPr>
          <w:color w:val="000000"/>
          <w:sz w:val="22"/>
          <w:szCs w:val="22"/>
        </w:rPr>
        <w:t xml:space="preserve">La </w:t>
        <w:tab/>
        <w:t xml:space="preserve">prueba escrita que tendrá lugar en cada evaluación en una fecha que se publicará con suficiente anterioridad tendrá un peso en la calificación de la evaluación del 70 %.  </w:t>
        <w:tab/>
      </w:r>
    </w:p>
    <w:p>
      <w:pPr>
        <w:pStyle w:val="Normal"/>
        <w:numPr>
          <w:ilvl w:val="0"/>
          <w:numId w:val="4"/>
        </w:numPr>
        <w:tabs>
          <w:tab w:val="clear" w:pos="720"/>
          <w:tab w:val="left" w:pos="284" w:leader="none"/>
        </w:tabs>
        <w:spacing w:before="200" w:after="240"/>
        <w:jc w:val="both"/>
        <w:rPr/>
      </w:pPr>
      <w:r>
        <w:rPr>
          <w:color w:val="000000"/>
          <w:sz w:val="22"/>
          <w:szCs w:val="22"/>
        </w:rPr>
        <w:t xml:space="preserve">Será necesaria la obtención de una calificación mínima de 5 para poder considerar una evaluación como superada. Si el promedio de las calificaciones de las evaluaciones es superior a 5, se considerará que la materia ha sido superada en la evaluación final. </w:t>
      </w:r>
    </w:p>
    <w:p>
      <w:pPr>
        <w:pStyle w:val="Normal"/>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cs="Cambria"/>
          <w:b/>
          <w:sz w:val="22"/>
          <w:szCs w:val="22"/>
          <w:u w:val="single"/>
        </w:rPr>
        <w:t>9. ESTRATEGIAS DIDÁCTICAS Y METODOLÓGICAS</w:t>
      </w:r>
    </w:p>
    <w:p>
      <w:pPr>
        <w:pStyle w:val="Normal"/>
        <w:tabs>
          <w:tab w:val="clear" w:pos="720"/>
          <w:tab w:val="left" w:pos="284" w:leader="none"/>
        </w:tabs>
        <w:ind w:firstLine="284"/>
        <w:jc w:val="both"/>
        <w:rPr/>
      </w:pPr>
      <w:r>
        <w:rPr>
          <w:color w:val="000000"/>
          <w:sz w:val="22"/>
          <w:szCs w:val="22"/>
        </w:rPr>
        <w:t>La materia de Física y Química tiene como finalidad dotar a los alumnos de una cultura científica básica y capacidad para conocer el mundo que nos rodea y sus fenómenos, preparándose como futuros ciudadanos de una sociedad estrechamente ligada a la ciencia y a sus avances.</w:t>
      </w:r>
    </w:p>
    <w:p>
      <w:pPr>
        <w:pStyle w:val="Normal"/>
        <w:ind w:firstLine="283"/>
        <w:jc w:val="both"/>
        <w:rPr/>
      </w:pPr>
      <w:r>
        <w:rPr>
          <w:color w:val="000000"/>
          <w:sz w:val="22"/>
          <w:szCs w:val="22"/>
        </w:rPr>
        <w:t xml:space="preserve">Los alumnos/as de 3º de ESO de Física y Química están habituados a recibir multitud de estímulos diariamente de forma muy atractiva y visual, por tanto, resulta fundamental intentar motivar y captar la atención del alumnado a través de la metodología que se desarrolle en el aula. En este sentido, las estrategias principales que se llevarán a cabo en la materia de Física y Química son las siguientes: </w:t>
      </w:r>
    </w:p>
    <w:p>
      <w:pPr>
        <w:pStyle w:val="Normal"/>
        <w:numPr>
          <w:ilvl w:val="0"/>
          <w:numId w:val="5"/>
        </w:numPr>
        <w:jc w:val="both"/>
        <w:rPr/>
      </w:pPr>
      <w:r>
        <w:rPr>
          <w:b/>
          <w:color w:val="000000"/>
          <w:sz w:val="22"/>
          <w:szCs w:val="22"/>
        </w:rPr>
        <w:t>Entornos digitales</w:t>
      </w:r>
      <w:r>
        <w:rPr>
          <w:color w:val="000000"/>
          <w:sz w:val="22"/>
          <w:szCs w:val="22"/>
        </w:rPr>
        <w:t xml:space="preserve">: los alumnos/as están familiarizados con diferentes soportes digitales, a través de los cuáles, se comunican y reciben información con mucha frecuencia. Por esta razón, en las clases de Física y Química se utilizarán simulaciones por ordenador de procesos físicos, vídeos de Youtube con contenido científico, del mismo modo que se hará uso de herramientas digitales para recursos y cuestionarios (Aramoodle, Kahoot, Google Classroom, etc). Al utilizar estos elementos digitales el alumno/a se siente más cómodo ya que es un contexto que le resulta familiar, y a la vez hace posible que su motivación aumente.  </w:t>
      </w:r>
    </w:p>
    <w:p>
      <w:pPr>
        <w:pStyle w:val="Normal"/>
        <w:numPr>
          <w:ilvl w:val="0"/>
          <w:numId w:val="5"/>
        </w:numPr>
        <w:jc w:val="both"/>
        <w:rPr/>
      </w:pPr>
      <w:r>
        <w:rPr>
          <w:b/>
          <w:color w:val="000000"/>
          <w:sz w:val="22"/>
          <w:szCs w:val="22"/>
        </w:rPr>
        <w:t>Actividades variadas</w:t>
      </w:r>
      <w:r>
        <w:rPr>
          <w:color w:val="000000"/>
          <w:sz w:val="22"/>
          <w:szCs w:val="22"/>
        </w:rPr>
        <w:t xml:space="preserve">: para evitar una pérdida de atención por parte del alumnado durante las clases, se considera conveniente realizar diferentes actividades a lo largo de cualquier sesión de forma que la sesión de Física y Química sea variada y no absolutamente previsible para el alumnado.  </w:t>
      </w:r>
    </w:p>
    <w:p>
      <w:pPr>
        <w:pStyle w:val="Normal"/>
        <w:numPr>
          <w:ilvl w:val="0"/>
          <w:numId w:val="5"/>
        </w:numPr>
        <w:jc w:val="both"/>
        <w:rPr/>
      </w:pPr>
      <w:r>
        <w:rPr>
          <w:b/>
          <w:color w:val="000000"/>
          <w:sz w:val="22"/>
          <w:szCs w:val="22"/>
        </w:rPr>
        <w:t>Actividades contextualizadas</w:t>
      </w:r>
      <w:r>
        <w:rPr>
          <w:color w:val="000000"/>
          <w:sz w:val="22"/>
          <w:szCs w:val="22"/>
        </w:rPr>
        <w:t xml:space="preserve">: siempre que se exponga cualquier contenido de la materia o se realicen actividades en el aula, se elegirán ejemplos propios de la vida cotidiana de los alumnos/as, de cara a facilitar la comprensión de nuevos conceptos a partir de las experiencias que ya tienen y de lo que ya saben. </w:t>
      </w:r>
    </w:p>
    <w:p>
      <w:pPr>
        <w:pStyle w:val="Normal"/>
        <w:numPr>
          <w:ilvl w:val="0"/>
          <w:numId w:val="5"/>
        </w:numPr>
        <w:tabs>
          <w:tab w:val="clear" w:pos="720"/>
          <w:tab w:val="left" w:pos="284" w:leader="none"/>
        </w:tabs>
        <w:ind w:left="709" w:hanging="425"/>
        <w:jc w:val="both"/>
        <w:rPr/>
      </w:pPr>
      <w:r>
        <w:rPr>
          <w:b/>
          <w:color w:val="000000"/>
          <w:sz w:val="22"/>
          <w:szCs w:val="22"/>
        </w:rPr>
        <w:t>Buen clima de clase</w:t>
      </w:r>
      <w:r>
        <w:rPr>
          <w:color w:val="000000"/>
          <w:sz w:val="22"/>
          <w:szCs w:val="22"/>
        </w:rPr>
        <w:t xml:space="preserve">: consiste en que los alumnos/as comprendan que la labor del docente es que adquieran una serie de contenidos que vienen establecidos por la legislación y que se formen como personas capaces de insertarse en un futuro en la sociedad. Esto hará posible un clima de clase más agradable, de forma que el rendimiento académico de los alumnos/as será mayor. </w:t>
      </w:r>
    </w:p>
    <w:p>
      <w:pPr>
        <w:pStyle w:val="Normal"/>
        <w:numPr>
          <w:ilvl w:val="0"/>
          <w:numId w:val="5"/>
        </w:numPr>
        <w:tabs>
          <w:tab w:val="clear" w:pos="720"/>
          <w:tab w:val="left" w:pos="284" w:leader="none"/>
        </w:tabs>
        <w:ind w:left="709" w:hanging="425"/>
        <w:jc w:val="both"/>
        <w:rPr/>
      </w:pPr>
      <w:r>
        <w:rPr>
          <w:b/>
          <w:color w:val="000000"/>
          <w:sz w:val="22"/>
          <w:szCs w:val="22"/>
        </w:rPr>
        <w:t>Laboratorio de Física y química</w:t>
      </w:r>
      <w:r>
        <w:rPr>
          <w:color w:val="000000"/>
          <w:sz w:val="22"/>
          <w:szCs w:val="22"/>
        </w:rPr>
        <w:t xml:space="preserve">: durante la Educación Secundaria Obligatoria, se considera fundamental que el alumnado adquiera unas bases procedimentales  respecto al trabajo en el laboratorio, ya que esas bases afianzarán lo trabajado en el aula y permitirán que el alumno/a comprenda como se genera el conocimiento científico y como se trabaja en un laboratorio de ciencias. </w:t>
      </w:r>
    </w:p>
    <w:p>
      <w:pPr>
        <w:pStyle w:val="Normal"/>
        <w:keepNext w:val="true"/>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cs="Cambria"/>
          <w:b/>
          <w:sz w:val="22"/>
          <w:szCs w:val="22"/>
          <w:u w:val="single"/>
        </w:rPr>
        <w:t>10. CONCRECIÓN DEL PLAN LECTOR</w:t>
      </w:r>
    </w:p>
    <w:p>
      <w:pPr>
        <w:pStyle w:val="Normal"/>
        <w:tabs>
          <w:tab w:val="clear" w:pos="720"/>
          <w:tab w:val="left" w:pos="284" w:leader="none"/>
        </w:tabs>
        <w:ind w:firstLine="284"/>
        <w:jc w:val="both"/>
        <w:rPr/>
      </w:pPr>
      <w:r>
        <w:rPr>
          <w:sz w:val="22"/>
          <w:szCs w:val="22"/>
        </w:rPr>
        <w:t xml:space="preserve">Dado que es fundamental la competencia en comunicación lingüística en la formación del alumnado, en el Plan Lector específico de la materia de Física y Química en 3º de ESO se llevarán a cabo las siguientes medidas: </w:t>
      </w:r>
    </w:p>
    <w:p>
      <w:pPr>
        <w:pStyle w:val="Normal"/>
        <w:numPr>
          <w:ilvl w:val="0"/>
          <w:numId w:val="6"/>
        </w:numPr>
        <w:tabs>
          <w:tab w:val="clear" w:pos="720"/>
          <w:tab w:val="left" w:pos="284" w:leader="none"/>
        </w:tabs>
        <w:jc w:val="both"/>
        <w:rPr/>
      </w:pPr>
      <w:r>
        <w:rPr>
          <w:sz w:val="22"/>
          <w:szCs w:val="22"/>
        </w:rPr>
        <w:t xml:space="preserve">Lectura de textos relacionados con el conocimiento científico y las relaciones entre ciencia, tecnología y sociedad en la UD 1. La ciencia y la medida y en la UD 4. El átomo. Posteriormente se realizarán actividades de comprensión, así como el planteamiento de preguntas relacionadas con el texto que puedan afectar a la vida cotidiana de los alumnos/as o que puedan suscitar determinados debates. </w:t>
      </w:r>
    </w:p>
    <w:p>
      <w:pPr>
        <w:pStyle w:val="Normal"/>
        <w:numPr>
          <w:ilvl w:val="0"/>
          <w:numId w:val="6"/>
        </w:numPr>
        <w:tabs>
          <w:tab w:val="clear" w:pos="720"/>
          <w:tab w:val="left" w:pos="284" w:leader="none"/>
        </w:tabs>
        <w:jc w:val="both"/>
        <w:rPr/>
      </w:pPr>
      <w:r>
        <w:rPr>
          <w:sz w:val="22"/>
          <w:szCs w:val="22"/>
        </w:rPr>
        <w:t xml:space="preserve">Se leerán en determinadas unidades didácticas fragmentos de libros de divulgación científica facilitados por el docente. Estos fragmentos abordan algunos de los contenidos de la asignatura de una forma diferente y amena, pudiendo suscitar el interés por la lectura de dichos libros fuera del horario escolar por parte de los alumnos/as. En esta línea, resultan especialmente interesantes las biografías de grandes científicos/as como Marie Curie y Antoine-Laurent Lavoisier. Dado que algunos ejemplares de este tipo de libros se encuentran disponibles en la biblioteca del centro, se podrá considerar como una actividad de ampliación voluntaria la lectura y comprensión de algunos capítulos de estos ejemplares. </w:t>
      </w:r>
    </w:p>
    <w:p>
      <w:pPr>
        <w:pStyle w:val="Normal"/>
        <w:tabs>
          <w:tab w:val="clear" w:pos="720"/>
          <w:tab w:val="left" w:pos="284" w:leader="none"/>
        </w:tabs>
        <w:ind w:firstLine="284"/>
        <w:jc w:val="both"/>
        <w:rPr/>
      </w:pPr>
      <w:r>
        <w:rPr>
          <w:sz w:val="22"/>
          <w:szCs w:val="22"/>
        </w:rPr>
        <w:t>La presentación de los trabajos tanto escritos como orales se realizará siguiendo las pautas y recomendaciones recogidas en el Proyecto Lingüístico del centro.</w:t>
      </w:r>
    </w:p>
    <w:p>
      <w:pPr>
        <w:pStyle w:val="Normal"/>
        <w:jc w:val="both"/>
        <w:rPr/>
      </w:pPr>
      <w:r>
        <w:rPr>
          <w:rFonts w:eastAsia="Cambria" w:cs="Cambria"/>
          <w:b/>
          <w:sz w:val="22"/>
          <w:szCs w:val="22"/>
          <w:u w:val="single"/>
        </w:rPr>
        <w:t>11. CONCRECIÓN DEL PLAN DE IMPLEMENTACIÓN DE ELEMENTOS TRANSVERSALES</w:t>
      </w:r>
    </w:p>
    <w:p>
      <w:pPr>
        <w:pStyle w:val="Normal"/>
        <w:ind w:firstLine="284"/>
        <w:jc w:val="both"/>
        <w:rPr/>
      </w:pPr>
      <w:r>
        <w:rPr>
          <w:sz w:val="22"/>
          <w:szCs w:val="22"/>
        </w:rPr>
        <w:t xml:space="preserve">La legislación establece una serie de elementos transversales que deben ser tratados en todas las materias de la Educación Secundaria y que contribuyen a la formación de los alumnos más allá de los contenidos curriculares. En la materia de Física y Química en 3º de ESO se trabajarán los siguientes elementos transversales de entre los recogidos en el Plan de implementación de elementos transversales contenido en el Proyecto Curricular de Etapa del centro: </w:t>
      </w:r>
    </w:p>
    <w:p>
      <w:pPr>
        <w:pStyle w:val="Normal"/>
        <w:numPr>
          <w:ilvl w:val="0"/>
          <w:numId w:val="7"/>
        </w:numPr>
        <w:spacing w:lineRule="auto" w:line="288" w:before="40" w:after="40"/>
        <w:jc w:val="both"/>
        <w:rPr/>
      </w:pPr>
      <w:r>
        <w:rPr>
          <w:sz w:val="22"/>
          <w:szCs w:val="22"/>
          <w:u w:val="single"/>
        </w:rPr>
        <w:t>Respeto a los derechos humanos</w:t>
      </w:r>
      <w:r>
        <w:rPr>
          <w:sz w:val="22"/>
          <w:szCs w:val="22"/>
        </w:rPr>
        <w:t xml:space="preserve">: en la UD 1 titulada La ciencia y la medida se hace referencia al desarrollo científico y a sus repercusiones en la sociedad, de forma que se puede poner de relieve que cualquier avance científico debe respetar los derechos humanos. También en la UD 4 (El átomo) al abordarse las aplicaciones de las sustancias radiactivas, se pondrá de relieve la importancia de respetar los derechos humanos (evitar la proliferación de armamento nuclear). </w:t>
      </w:r>
    </w:p>
    <w:p>
      <w:pPr>
        <w:pStyle w:val="Normal"/>
        <w:numPr>
          <w:ilvl w:val="0"/>
          <w:numId w:val="7"/>
        </w:numPr>
        <w:spacing w:lineRule="auto" w:line="288" w:before="40" w:after="40"/>
        <w:jc w:val="both"/>
        <w:rPr/>
      </w:pPr>
      <w:r>
        <w:rPr>
          <w:sz w:val="22"/>
          <w:szCs w:val="22"/>
          <w:u w:val="single"/>
        </w:rPr>
        <w:t>Educación ambiental</w:t>
      </w:r>
      <w:r>
        <w:rPr>
          <w:sz w:val="22"/>
          <w:szCs w:val="22"/>
        </w:rPr>
        <w:t xml:space="preserve">: en las UD 4 (El átomo) y 6 (Las reacciones químicas) se tratarán las relaciones entre la química, la sociedad y el medio ambiente.   </w:t>
      </w:r>
    </w:p>
    <w:p>
      <w:pPr>
        <w:pStyle w:val="Normal"/>
        <w:numPr>
          <w:ilvl w:val="0"/>
          <w:numId w:val="7"/>
        </w:numPr>
        <w:spacing w:lineRule="auto" w:line="288" w:before="40" w:after="40"/>
        <w:jc w:val="both"/>
        <w:rPr/>
      </w:pPr>
      <w:r>
        <w:rPr>
          <w:sz w:val="22"/>
          <w:szCs w:val="22"/>
          <w:u w:val="single"/>
        </w:rPr>
        <w:t>Educación para la salud</w:t>
      </w:r>
      <w:r>
        <w:rPr>
          <w:sz w:val="22"/>
          <w:szCs w:val="22"/>
        </w:rPr>
        <w:t xml:space="preserve">: en la UD 4 (El átomo) se indicarán las aplicaciones en medicina de los isótopos radiactivos, tanto en el diagnóstico como en el tratamiento de diferentes enfermedades. </w:t>
      </w:r>
    </w:p>
    <w:p>
      <w:pPr>
        <w:pStyle w:val="Normal"/>
        <w:numPr>
          <w:ilvl w:val="0"/>
          <w:numId w:val="7"/>
        </w:numPr>
        <w:spacing w:lineRule="auto" w:line="288" w:before="40" w:after="40"/>
        <w:jc w:val="both"/>
        <w:rPr/>
      </w:pPr>
      <w:r>
        <w:rPr>
          <w:sz w:val="22"/>
          <w:szCs w:val="22"/>
          <w:u w:val="single"/>
        </w:rPr>
        <w:t>Comprensión y expresión escrita</w:t>
      </w:r>
      <w:r>
        <w:rPr>
          <w:sz w:val="22"/>
          <w:szCs w:val="22"/>
        </w:rPr>
        <w:t xml:space="preserve">: a lo largo del curso se leerán textos con contenido científico en el aula y se trabajará su comprensión. Además, se propondrá la lectura de determinados fragmentos de libros de divulgación científica que pueden resultar interesantes y con gran potencial formativo para los alumnos/as. </w:t>
      </w:r>
    </w:p>
    <w:p>
      <w:pPr>
        <w:pStyle w:val="Normal"/>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cs="Cambria"/>
          <w:b/>
          <w:sz w:val="22"/>
          <w:szCs w:val="22"/>
          <w:u w:val="single"/>
        </w:rPr>
        <w:t xml:space="preserve">12. CONCRECIÓN DEL PLAN DE UTILIZACIÓN DE LAS TECNOLOGÍAS DIGITALES </w:t>
      </w:r>
    </w:p>
    <w:p>
      <w:pPr>
        <w:pStyle w:val="Normal"/>
        <w:spacing w:lineRule="auto" w:line="288"/>
        <w:ind w:firstLine="284"/>
        <w:jc w:val="both"/>
        <w:rPr/>
      </w:pPr>
      <w:r>
        <w:rPr>
          <w:rFonts w:eastAsia="Cambria" w:cs="Cambria"/>
          <w:sz w:val="22"/>
          <w:szCs w:val="22"/>
        </w:rPr>
        <w:t xml:space="preserve">El Plan de utilización de las Tecnologías digitales contenido en el Proyecto Curricular de Etapa del centro establece que la finalidad debe ser hacer de las TIC una herramienta de uso habitual que permita mejorar los procesos de enseñanza-aprendizaje del alumnado. En este sentido, en la materia de Física y química de 3º de ESO se aplicarán las siguientes medidas: </w:t>
      </w:r>
    </w:p>
    <w:p>
      <w:pPr>
        <w:pStyle w:val="ListParagraph"/>
        <w:numPr>
          <w:ilvl w:val="0"/>
          <w:numId w:val="9"/>
        </w:numPr>
        <w:ind w:left="567" w:hanging="283"/>
        <w:jc w:val="both"/>
        <w:rPr/>
      </w:pPr>
      <w:r>
        <w:rPr>
          <w:rFonts w:eastAsia="Cambria" w:cs="Cambria"/>
          <w:sz w:val="22"/>
          <w:szCs w:val="22"/>
        </w:rPr>
        <w:t>Potenciar el uso de las TIC como herramienta educativa, medio de apoyo y refuerzo en el aprendizaje del alumnado.</w:t>
      </w:r>
    </w:p>
    <w:p>
      <w:pPr>
        <w:pStyle w:val="ListParagraph"/>
        <w:numPr>
          <w:ilvl w:val="0"/>
          <w:numId w:val="9"/>
        </w:numPr>
        <w:ind w:left="567" w:hanging="283"/>
        <w:jc w:val="both"/>
        <w:rPr/>
      </w:pPr>
      <w:r>
        <w:rPr>
          <w:rFonts w:eastAsia="Cambria" w:cs="Cambria"/>
          <w:sz w:val="22"/>
          <w:szCs w:val="22"/>
        </w:rPr>
        <w:t>Utilizar con las TIC como fuente de información, favoreciendo en el alumnado el espíritu crítico en la búsqueda y tratamiento de la información obtenida en Internet.</w:t>
      </w:r>
    </w:p>
    <w:p>
      <w:pPr>
        <w:pStyle w:val="ListParagraph"/>
        <w:numPr>
          <w:ilvl w:val="0"/>
          <w:numId w:val="9"/>
        </w:numPr>
        <w:ind w:left="567" w:hanging="283"/>
        <w:jc w:val="both"/>
        <w:rPr/>
      </w:pPr>
      <w:r>
        <w:rPr>
          <w:rFonts w:eastAsia="Cambria" w:cs="Cambria"/>
          <w:sz w:val="22"/>
          <w:szCs w:val="22"/>
        </w:rPr>
        <w:t>Potenciar entre el alumnado el uso el ordenador como medio de investigación para ampliar conocimientos y elaborar trabajos.</w:t>
      </w:r>
    </w:p>
    <w:p>
      <w:pPr>
        <w:pStyle w:val="ListParagraph"/>
        <w:numPr>
          <w:ilvl w:val="0"/>
          <w:numId w:val="9"/>
        </w:numPr>
        <w:ind w:left="567" w:hanging="283"/>
        <w:jc w:val="both"/>
        <w:rPr/>
      </w:pPr>
      <w:r>
        <w:rPr>
          <w:rFonts w:eastAsia="Cambria" w:cs="Cambria"/>
          <w:sz w:val="22"/>
          <w:szCs w:val="22"/>
        </w:rPr>
        <w:t>Disponibilidad de un ordenador y una pizarra digital o pantalla en las aulas de grupo.</w:t>
      </w:r>
    </w:p>
    <w:p>
      <w:pPr>
        <w:pStyle w:val="ListParagraph"/>
        <w:numPr>
          <w:ilvl w:val="0"/>
          <w:numId w:val="9"/>
        </w:numPr>
        <w:ind w:left="567" w:hanging="283"/>
        <w:jc w:val="both"/>
        <w:rPr/>
      </w:pPr>
      <w:r>
        <w:rPr>
          <w:rFonts w:eastAsia="Cambria" w:cs="Cambria"/>
          <w:sz w:val="22"/>
          <w:szCs w:val="22"/>
        </w:rPr>
        <w:t>Disponibilidad de aulas específicas de informática, dotadas con ordenadores suficientes.</w:t>
      </w:r>
    </w:p>
    <w:p>
      <w:pPr>
        <w:pStyle w:val="ListParagraph"/>
        <w:numPr>
          <w:ilvl w:val="0"/>
          <w:numId w:val="9"/>
        </w:numPr>
        <w:ind w:left="567" w:hanging="283"/>
        <w:jc w:val="both"/>
        <w:rPr/>
      </w:pPr>
      <w:r>
        <w:rPr>
          <w:rFonts w:eastAsia="Cambria" w:cs="Cambria"/>
          <w:sz w:val="22"/>
          <w:szCs w:val="22"/>
        </w:rPr>
        <w:t>Creación, selección y organización de materiales curriculares o de software educativo.</w:t>
      </w:r>
    </w:p>
    <w:p>
      <w:pPr>
        <w:pStyle w:val="ListParagraph"/>
        <w:numPr>
          <w:ilvl w:val="0"/>
          <w:numId w:val="9"/>
        </w:numPr>
        <w:ind w:left="567" w:hanging="283"/>
        <w:jc w:val="both"/>
        <w:rPr/>
      </w:pPr>
      <w:r>
        <w:rPr>
          <w:rFonts w:eastAsia="Cambria" w:cs="Cambria"/>
          <w:sz w:val="22"/>
          <w:szCs w:val="22"/>
        </w:rPr>
        <w:t>Uso del correo electrónico corporativo para las comunicaciones entre el profesorado, con el alumnado y el resto de la comunidad educativa.</w:t>
      </w:r>
    </w:p>
    <w:p>
      <w:pPr>
        <w:pStyle w:val="ListParagraph"/>
        <w:numPr>
          <w:ilvl w:val="0"/>
          <w:numId w:val="9"/>
        </w:numPr>
        <w:ind w:left="567" w:hanging="283"/>
        <w:jc w:val="both"/>
        <w:rPr/>
      </w:pPr>
      <w:r>
        <w:rPr>
          <w:rFonts w:eastAsia="Cambria" w:cs="Cambria"/>
          <w:sz w:val="22"/>
          <w:szCs w:val="22"/>
        </w:rPr>
        <w:t>Búsqueda crítica de información en Internet y utilizarla en la elaboración de trabajos o proyectos por parte del alumnado.</w:t>
      </w:r>
    </w:p>
    <w:p>
      <w:pPr>
        <w:pStyle w:val="ListParagraph"/>
        <w:numPr>
          <w:ilvl w:val="0"/>
          <w:numId w:val="9"/>
        </w:numPr>
        <w:ind w:left="567" w:hanging="283"/>
        <w:jc w:val="both"/>
        <w:rPr/>
      </w:pPr>
      <w:r>
        <w:rPr>
          <w:rFonts w:eastAsia="Cambria" w:cs="Cambria"/>
          <w:sz w:val="22"/>
          <w:szCs w:val="22"/>
        </w:rPr>
        <w:t>Elaboración de trabajos, informes, dibujos, gráficas, presentaciones, exposiciones relacionadas con distintas materias y que supongan el uso de distintos programas informáticos.</w:t>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cs="Cambria"/>
          <w:b/>
          <w:sz w:val="22"/>
          <w:szCs w:val="22"/>
          <w:u w:val="single"/>
        </w:rPr>
        <w:t>13. EN SU CASO, MEDIDAS COMPLEMENTARIAS QUE SE PLANTEAN PARA EL TRATAMIENTO DE LAS MATERIAS DENTRO DEL PROYECTO BILINGÜE</w:t>
      </w:r>
    </w:p>
    <w:p>
      <w:pPr>
        <w:pStyle w:val="Normal"/>
        <w:jc w:val="both"/>
        <w:rPr/>
      </w:pPr>
      <w:r>
        <w:rPr>
          <w:rFonts w:eastAsia="Cambria" w:cs="Cambria"/>
          <w:sz w:val="22"/>
          <w:szCs w:val="22"/>
        </w:rPr>
        <w:t xml:space="preserve">La materia de Física y química no se imparte en el programa Bilingüe en 3º de ESO en este centro. </w:t>
      </w:r>
    </w:p>
    <w:p>
      <w:pPr>
        <w:pStyle w:val="Normal"/>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cs="Cambria"/>
          <w:b/>
          <w:sz w:val="22"/>
          <w:szCs w:val="22"/>
          <w:u w:val="single"/>
        </w:rPr>
        <w:t>14. MECANISMOS DE REVISIÓN, EVALUACIÓN Y MODIFICACIÓN DE LAS PROGRAMACIONES DIDÁCTICAS</w:t>
      </w:r>
    </w:p>
    <w:p>
      <w:pPr>
        <w:pStyle w:val="Normal"/>
        <w:spacing w:before="0" w:after="0"/>
        <w:ind w:firstLine="284"/>
        <w:jc w:val="both"/>
        <w:rPr/>
      </w:pPr>
      <w:r>
        <w:rPr>
          <w:sz w:val="22"/>
          <w:szCs w:val="22"/>
        </w:rPr>
        <w:t xml:space="preserve">En primer lugar es necesario revisar la programación al principio del curso para comprobar que cumple con la legislación vigente (ya que puede ser modificada) y que está adaptada al grupo de alumnos del curso que se va a iniciar. En este momento se pueden realizar algunas modificaciones, especialmente en cuanto a las concreciones metodológicas y en relación a las Medidas de Atención a la Diversidad, con el fin de adaptar la Programación a la realidad del grupo antes de que sea incorporada a la Programación General Anual. </w:t>
      </w:r>
    </w:p>
    <w:p>
      <w:pPr>
        <w:pStyle w:val="Normal"/>
        <w:spacing w:before="0" w:after="0"/>
        <w:ind w:firstLine="284"/>
        <w:jc w:val="both"/>
        <w:rPr>
          <w:rFonts w:ascii="Calibri" w:hAnsi="Calibri"/>
          <w:sz w:val="22"/>
          <w:szCs w:val="22"/>
        </w:rPr>
      </w:pPr>
      <w:r>
        <w:rPr>
          <w:sz w:val="22"/>
          <w:szCs w:val="22"/>
        </w:rPr>
      </w:r>
    </w:p>
    <w:p>
      <w:pPr>
        <w:pStyle w:val="Normal"/>
        <w:spacing w:before="0" w:after="0"/>
        <w:ind w:firstLine="284"/>
        <w:jc w:val="both"/>
        <w:rPr/>
      </w:pPr>
      <w:r>
        <w:rPr>
          <w:sz w:val="22"/>
          <w:szCs w:val="22"/>
        </w:rPr>
        <w:t>Durante el desarrollo del curso, el grado de cumplimiento de la programación de cada materia se valora mensualmente en una de las Reuniones de Departamento. De esta forma se pueden detectar desviaciones entre los diferentes grupos de un mismo nivel, por ejemplo. Para realizar un seguimiento adecuado del cumplimiento de la programación se puede utilizar la hoja Excel Cuaderno del Profesor, que es una herramienta muy útil para que el propio docente compruebe que el número de sesiones asignadas a cada UD es correcto y que no se producen desviaciones significativas. En caso de ausencias imprevistas del docente, con esta herramienta se dispone de una visión global del desarrollo de las UD y se pueden proponer mecanismos de corrección de una forma más intuitiva.</w:t>
      </w:r>
    </w:p>
    <w:p>
      <w:pPr>
        <w:pStyle w:val="Normal"/>
        <w:spacing w:before="0" w:after="0"/>
        <w:ind w:firstLine="284"/>
        <w:jc w:val="both"/>
        <w:rPr>
          <w:rFonts w:ascii="Calibri" w:hAnsi="Calibri"/>
          <w:sz w:val="22"/>
          <w:szCs w:val="22"/>
        </w:rPr>
      </w:pPr>
      <w:r>
        <w:rPr>
          <w:sz w:val="22"/>
          <w:szCs w:val="22"/>
        </w:rPr>
      </w:r>
    </w:p>
    <w:p>
      <w:pPr>
        <w:pStyle w:val="Normal"/>
        <w:spacing w:before="0" w:after="0"/>
        <w:ind w:firstLine="284"/>
        <w:jc w:val="both"/>
        <w:rPr/>
      </w:pPr>
      <w:r>
        <w:rPr>
          <w:sz w:val="22"/>
          <w:szCs w:val="22"/>
        </w:rPr>
        <w:t xml:space="preserve">Al menos en una ocasión durante el curso, los alumnos/as de cada grupo podrán contestar voluntariamente a unos cuestionarios online en relación al proceso enseñanza-aprendizaje, al clima de clase y a su propio esfuerzo. Las respuestas de los alumnos/as a estos cuestionarios son un elemento muy valioso como retroalimentación de lo planteado en esta Programación (actividades, metodología, secuenciación, evaluación, etc.) y de la labor docente. El análisis de estas respuestas puede servir para corregir errores sistemáticos, para incorporar mejoras propuestas por los alumnos/as y, en definitiva, para optimizar la Programación Didáctica y el proceso enseñanza-aprendizaje. </w:t>
      </w:r>
    </w:p>
    <w:p>
      <w:pPr>
        <w:pStyle w:val="Normal"/>
        <w:tabs>
          <w:tab w:val="clear" w:pos="720"/>
          <w:tab w:val="left" w:pos="284" w:leader="none"/>
        </w:tabs>
        <w:spacing w:before="0" w:after="0"/>
        <w:ind w:firstLine="284"/>
        <w:jc w:val="both"/>
        <w:rPr>
          <w:rFonts w:ascii="Calibri" w:hAnsi="Calibri"/>
          <w:sz w:val="22"/>
          <w:szCs w:val="22"/>
        </w:rPr>
      </w:pPr>
      <w:r>
        <w:rPr>
          <w:sz w:val="22"/>
          <w:szCs w:val="22"/>
        </w:rPr>
      </w:r>
    </w:p>
    <w:p>
      <w:pPr>
        <w:pStyle w:val="Normal"/>
        <w:tabs>
          <w:tab w:val="clear" w:pos="720"/>
          <w:tab w:val="left" w:pos="284" w:leader="none"/>
        </w:tabs>
        <w:spacing w:before="0" w:after="0"/>
        <w:ind w:firstLine="284"/>
        <w:jc w:val="both"/>
        <w:rPr/>
      </w:pPr>
      <w:r>
        <w:rPr>
          <w:sz w:val="22"/>
          <w:szCs w:val="22"/>
        </w:rPr>
        <w:t xml:space="preserve">Por otra parte, se realizará una evaluación de los resultados académicos obtenidos por los diferentes grupos de alumnos/as en la materia en este curso, comparándolos con los obtenidos en años anteriores y con la media de la comunidad autónoma de Aragón para cada nivel. Como consecuencia de dicho análisis se establecerán una serie de medidas destinadas a la mejora de dichos resultados que aparecerán recogidas en la Memoria del Departamento. </w:t>
      </w:r>
    </w:p>
    <w:p>
      <w:pPr>
        <w:pStyle w:val="Normal"/>
        <w:spacing w:before="0" w:after="0"/>
        <w:ind w:firstLine="284"/>
        <w:jc w:val="both"/>
        <w:rPr>
          <w:rFonts w:ascii="Calibri" w:hAnsi="Calibri"/>
          <w:sz w:val="22"/>
          <w:szCs w:val="22"/>
        </w:rPr>
      </w:pPr>
      <w:r>
        <w:rPr>
          <w:sz w:val="22"/>
          <w:szCs w:val="22"/>
        </w:rPr>
      </w:r>
    </w:p>
    <w:p>
      <w:pPr>
        <w:pStyle w:val="Normal"/>
        <w:spacing w:before="0" w:after="0"/>
        <w:ind w:firstLine="284"/>
        <w:jc w:val="both"/>
        <w:rPr/>
      </w:pPr>
      <w:r>
        <w:rPr>
          <w:sz w:val="22"/>
          <w:szCs w:val="22"/>
        </w:rPr>
        <w:t xml:space="preserve">Finalmente, se procederá a revisar la programación una vez que el curso ha terminado para la elaboración de la Memoria del Departamento. En este punto y a la vista del grado de cumplimiento global de la programación, de los resultados académicos del grupo, de las evaluaciones de los alumnos se puede hacer una valoración más nítida y precisa del proceso enseñanza-aprendizaje. Es en ese momento cuando se pueden proponer modificaciones de la programación como respuesta a desajustes o a propuestas de alumnos/as o de otros docentes del departamento. No obstante, cualquier modificación significativa deberá tener una justificación que la considere necesaria. </w:t>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pPr>
      <w:r>
        <w:rPr>
          <w:rFonts w:eastAsia="Cambria" w:cs="Cambria"/>
          <w:b/>
          <w:sz w:val="22"/>
          <w:szCs w:val="22"/>
          <w:u w:val="single"/>
        </w:rPr>
        <w:t>15. ACTIVIDADES COMPLEMENTARIAS Y EXTRAESCOLARES</w:t>
      </w:r>
    </w:p>
    <w:p>
      <w:pPr>
        <w:pStyle w:val="Normal"/>
        <w:tabs>
          <w:tab w:val="clear" w:pos="720"/>
          <w:tab w:val="left" w:pos="284" w:leader="none"/>
        </w:tabs>
        <w:ind w:firstLine="284"/>
        <w:jc w:val="both"/>
        <w:rPr/>
      </w:pPr>
      <w:r>
        <w:rPr>
          <w:sz w:val="22"/>
          <w:szCs w:val="22"/>
        </w:rPr>
        <w:t xml:space="preserve">Dado el elevado número de alumnos de Física y química en 3º de ESO (6 grupos), desde el departamento no se ha encontrado una actividad extraescolar relacionada con los contenidos curriculares que se les pueda ofrecer a todos los alumnos/as simultáneamente, por lo que no se ha propuesto ninguna actividad extraescolar para este curso en este nivel.  </w:t>
      </w:r>
    </w:p>
    <w:p>
      <w:pPr>
        <w:pStyle w:val="Normal"/>
        <w:tabs>
          <w:tab w:val="clear" w:pos="720"/>
          <w:tab w:val="left" w:pos="284" w:leader="none"/>
        </w:tabs>
        <w:ind w:firstLine="284"/>
        <w:jc w:val="both"/>
        <w:rPr>
          <w:rFonts w:ascii="Calibri" w:hAnsi="Calibri"/>
          <w:sz w:val="22"/>
          <w:szCs w:val="22"/>
        </w:rPr>
      </w:pPr>
      <w:r>
        <w:rPr>
          <w:sz w:val="22"/>
          <w:szCs w:val="22"/>
        </w:rPr>
      </w:r>
    </w:p>
    <w:p>
      <w:pPr>
        <w:pStyle w:val="Normal"/>
        <w:jc w:val="both"/>
        <w:rPr/>
      </w:pPr>
      <w:r>
        <w:rPr>
          <w:rFonts w:eastAsia="Cambria" w:cs="Cambria"/>
          <w:b/>
          <w:sz w:val="22"/>
          <w:szCs w:val="22"/>
          <w:u w:val="single"/>
        </w:rPr>
        <w:t>16. FORMA EN LA QUE SE DAN A CONOCER LOS ASPECTOS RELEVANTES DE ESTA PROGRAMACIÓN AL ALUMNADO Y LAS FAMILIAS</w:t>
      </w:r>
    </w:p>
    <w:p>
      <w:pPr>
        <w:pStyle w:val="Normal"/>
        <w:tabs>
          <w:tab w:val="clear" w:pos="720"/>
          <w:tab w:val="left" w:pos="284" w:leader="none"/>
        </w:tabs>
        <w:ind w:firstLine="284"/>
        <w:jc w:val="both"/>
        <w:rPr/>
      </w:pPr>
      <w:r>
        <w:rPr>
          <w:color w:val="000000"/>
          <w:sz w:val="22"/>
          <w:szCs w:val="22"/>
        </w:rPr>
        <w:t xml:space="preserve">Con el fin de que todos los alumnos/as y sus familias conozcan lo que se les exige para superar la materia de Física y Química en 3º de ESO, se realizarán las siguientes acciones: </w:t>
      </w:r>
    </w:p>
    <w:p>
      <w:pPr>
        <w:pStyle w:val="Normal"/>
        <w:numPr>
          <w:ilvl w:val="0"/>
          <w:numId w:val="8"/>
        </w:numPr>
        <w:tabs>
          <w:tab w:val="clear" w:pos="720"/>
          <w:tab w:val="left" w:pos="284" w:leader="none"/>
        </w:tabs>
        <w:spacing w:before="0" w:after="0"/>
        <w:jc w:val="both"/>
        <w:rPr/>
      </w:pPr>
      <w:r>
        <w:rPr>
          <w:color w:val="000000"/>
          <w:sz w:val="22"/>
          <w:szCs w:val="22"/>
        </w:rPr>
        <w:t xml:space="preserve">El profesor de cada grupo informará a todos los alumnos/as en clase de los criterios de calificación y de los instrumentos de evaluación.  </w:t>
      </w:r>
    </w:p>
    <w:p>
      <w:pPr>
        <w:pStyle w:val="Normal"/>
        <w:numPr>
          <w:ilvl w:val="0"/>
          <w:numId w:val="8"/>
        </w:numPr>
        <w:tabs>
          <w:tab w:val="clear" w:pos="720"/>
          <w:tab w:val="left" w:pos="284" w:leader="none"/>
        </w:tabs>
        <w:spacing w:before="0" w:after="0"/>
        <w:jc w:val="both"/>
        <w:rPr/>
      </w:pPr>
      <w:r>
        <w:rPr>
          <w:color w:val="000000"/>
          <w:sz w:val="22"/>
          <w:szCs w:val="22"/>
        </w:rPr>
        <w:t xml:space="preserve">En la sección del Departamento de Física y Química de la página web del centro se publicarán los contenidos mínimos de la materia en 3º de ESO y los criterios de calificación. Del mismo modo, los profesores del Departamento darán a conocer esta información en los diferentes grupos de Google Classroom  creados para cada grupo clase.  </w:t>
      </w:r>
    </w:p>
    <w:p>
      <w:pPr>
        <w:pStyle w:val="Normal"/>
        <w:numPr>
          <w:ilvl w:val="0"/>
          <w:numId w:val="8"/>
        </w:numPr>
        <w:tabs>
          <w:tab w:val="clear" w:pos="720"/>
          <w:tab w:val="left" w:pos="284" w:leader="none"/>
        </w:tabs>
        <w:jc w:val="both"/>
        <w:rPr/>
      </w:pPr>
      <w:r>
        <w:rPr>
          <w:color w:val="000000"/>
          <w:sz w:val="22"/>
          <w:szCs w:val="22"/>
        </w:rPr>
        <w:t xml:space="preserve">Tanto en el Departamento de Física y Química como en Jefatura de Estudios se dispone de una copia de esta programación a disposición de los alumnos/as y sus familias para su consulta. </w:t>
      </w:r>
    </w:p>
    <w:p>
      <w:pPr>
        <w:pStyle w:val="Normal"/>
        <w:tabs>
          <w:tab w:val="clear" w:pos="720"/>
          <w:tab w:val="left" w:pos="284" w:leader="none"/>
        </w:tabs>
        <w:ind w:firstLine="284"/>
        <w:jc w:val="both"/>
        <w:rPr/>
      </w:pPr>
      <w:bookmarkStart w:id="5" w:name="__DdeLink__8841_748623719"/>
      <w:r>
        <w:rPr>
          <w:color w:val="000000"/>
          <w:sz w:val="22"/>
          <w:szCs w:val="22"/>
        </w:rPr>
        <w:t xml:space="preserve">Asimismo, en cualquier momento los profesores de la materia pueden responder a todas aquellas cuestiones que les puedan surgir a los alumnos/as o a sus familias respecto a esta programación didáctica. </w:t>
      </w:r>
      <w:bookmarkEnd w:id="5"/>
    </w:p>
    <w:p>
      <w:pPr>
        <w:pStyle w:val="Normal"/>
        <w:jc w:val="both"/>
        <w:rPr>
          <w:rFonts w:ascii="Arial" w:hAnsi="Arial" w:eastAsia="Cambria" w:cs="Cambria"/>
          <w:b/>
          <w:b/>
          <w:sz w:val="20"/>
          <w:szCs w:val="20"/>
          <w:u w:val="single"/>
        </w:rPr>
      </w:pPr>
      <w:r>
        <w:rPr>
          <w:rFonts w:eastAsia="Cambria" w:cs="Cambria" w:ascii="Arial" w:hAnsi="Arial"/>
          <w:b/>
          <w:sz w:val="20"/>
          <w:szCs w:val="20"/>
          <w:u w:val="single"/>
        </w:rPr>
      </w:r>
      <w:bookmarkStart w:id="6" w:name="_GoBack"/>
      <w:bookmarkStart w:id="7" w:name="_GoBack"/>
      <w:bookmarkEnd w:id="7"/>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sectPr>
          <w:headerReference w:type="default" r:id="rId4"/>
          <w:footerReference w:type="default" r:id="rId5"/>
          <w:type w:val="nextPage"/>
          <w:pgSz w:w="11906" w:h="16838"/>
          <w:pgMar w:left="1701" w:right="1701" w:header="708" w:top="1417" w:footer="708" w:bottom="1417" w:gutter="0"/>
          <w:pgNumType w:start="1" w:fmt="decimal"/>
          <w:formProt w:val="false"/>
          <w:titlePg/>
          <w:textDirection w:val="lrTb"/>
          <w:docGrid w:type="default" w:linePitch="100" w:charSpace="4096"/>
        </w:sectPr>
        <w:pStyle w:val="Normal"/>
        <w:widowControl/>
        <w:pBdr/>
        <w:shd w:val="clear" w:fill="auto"/>
        <w:spacing w:lineRule="auto" w:line="240" w:before="0" w:after="200"/>
        <w:ind w:left="0" w:right="0" w:hanging="0"/>
        <w:jc w:val="both"/>
        <w:rPr/>
      </w:pPr>
      <w:r>
        <w:rPr/>
      </w:r>
    </w:p>
    <w:p>
      <w:pPr>
        <w:pStyle w:val="Normal"/>
        <w:rPr>
          <w:rFonts w:ascii="Cambria" w:hAnsi="Cambria"/>
          <w:sz w:val="22"/>
          <w:szCs w:val="22"/>
          <w:u w:val="single"/>
        </w:rPr>
      </w:pPr>
      <w:r>
        <w:rPr>
          <w:rFonts w:ascii="Cambria" w:hAnsi="Cambria"/>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tbl>
      <w:tblPr>
        <w:tblStyle w:val="a0"/>
        <w:tblW w:w="8479" w:type="dxa"/>
        <w:jc w:val="left"/>
        <w:tblInd w:w="0" w:type="dxa"/>
        <w:tblCellMar>
          <w:top w:w="0" w:type="dxa"/>
          <w:left w:w="108" w:type="dxa"/>
          <w:bottom w:w="0" w:type="dxa"/>
          <w:right w:w="108" w:type="dxa"/>
        </w:tblCellMar>
        <w:tblLook w:firstRow="1" w:noVBand="1" w:lastRow="0" w:firstColumn="1" w:lastColumn="0" w:noHBand="0" w:val="04a0"/>
      </w:tblPr>
      <w:tblGrid>
        <w:gridCol w:w="3226"/>
        <w:gridCol w:w="5252"/>
      </w:tblGrid>
      <w:tr>
        <w:trPr>
          <w:trHeight w:val="2470" w:hRule="atLeast"/>
          <w:cnfStyle w:val="100000000000" w:firstRow="1" w:lastRow="0" w:firstColumn="0" w:lastColumn="0" w:oddVBand="0" w:evenVBand="0" w:oddHBand="0" w:evenHBand="0" w:firstRowFirstColumn="0" w:firstRowLastColumn="0" w:lastRowFirstColumn="0" w:lastRowLastColumn="0"/>
        </w:trPr>
        <w:tc>
          <w:tcPr>
            <w:tcW w:w="3226" w:type="dxa"/>
            <w:cnfStyle w:val="001000000000" w:firstRow="0" w:lastRow="0" w:firstColumn="1" w:lastColumn="0" w:oddVBand="0" w:evenVBand="0" w:oddHBand="0" w:evenHBand="0" w:firstRowFirstColumn="0" w:firstRowLastColumn="0" w:lastRowFirstColumn="0" w:lastRowLastColumn="0"/>
            <w:tcBorders>
              <w:top w:val="single" w:sz="8" w:space="0" w:color="4F81BD"/>
              <w:bottom w:val="single" w:sz="8" w:space="0" w:color="4F81BD"/>
            </w:tcBorders>
            <w:shd w:color="auto" w:fill="548DD4" w:val="clear"/>
          </w:tcPr>
          <w:p>
            <w:pPr>
              <w:pStyle w:val="Normal"/>
              <w:jc w:val="center"/>
              <w:rPr/>
            </w:pPr>
            <w:r>
              <w:rPr>
                <w:rFonts w:ascii="Cambria" w:hAnsi="Cambria"/>
                <w:color w:val="FFFFFF"/>
                <w:sz w:val="22"/>
                <w:szCs w:val="22"/>
              </w:rPr>
              <w:t xml:space="preserve">IES LA PUEBLA DE  </w:t>
            </w:r>
          </w:p>
          <w:p>
            <w:pPr>
              <w:pStyle w:val="Normal"/>
              <w:spacing w:before="0" w:after="200"/>
              <w:jc w:val="center"/>
              <w:rPr/>
            </w:pPr>
            <w:r>
              <w:rPr>
                <w:rFonts w:ascii="Cambria" w:hAnsi="Cambria"/>
                <w:color w:val="FFFFFF"/>
                <w:sz w:val="22"/>
                <w:szCs w:val="22"/>
              </w:rPr>
              <w:t xml:space="preserve">             </w:t>
            </w:r>
            <w:r>
              <w:rPr>
                <w:rFonts w:ascii="Cambria" w:hAnsi="Cambria"/>
                <w:color w:val="FFFFFF"/>
                <w:sz w:val="22"/>
                <w:szCs w:val="22"/>
              </w:rPr>
              <w:t>ALFINDÉN</w:t>
            </w:r>
          </w:p>
        </w:tc>
        <w:tc>
          <w:tcPr>
            <w:tcW w:w="5252" w:type="dxa"/>
            <w:tcBorders>
              <w:top w:val="single" w:sz="8" w:space="0" w:color="4F81BD"/>
              <w:bottom w:val="single" w:sz="8" w:space="0" w:color="4F81BD"/>
            </w:tcBorders>
            <w:shd w:color="auto" w:fill="auto" w:val="clear"/>
          </w:tcPr>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rFonts w:ascii="Cambria" w:hAnsi="Cambria"/>
                <w:b w:val="false"/>
                <w:color w:val="1F497D"/>
                <w:sz w:val="22"/>
                <w:szCs w:val="22"/>
              </w:rPr>
              <w:t xml:space="preserve">PROGRAMACIÓN DIDÁCTICA DE FÍSICA Y QUÍMICA </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color w:val="1F497D"/>
                <w:sz w:val="22"/>
                <w:szCs w:val="22"/>
              </w:rPr>
            </w:pPr>
            <w:r>
              <w:rPr>
                <w:rFonts w:ascii="Cambria" w:hAnsi="Cambria"/>
                <w:color w:val="1F497D"/>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rFonts w:ascii="Cambria" w:hAnsi="Cambria"/>
                <w:b w:val="false"/>
                <w:color w:val="1F497D"/>
                <w:sz w:val="22"/>
                <w:szCs w:val="22"/>
              </w:rPr>
              <w:t>4º EDUCACIÓN SECUNDARIA OBLIGATORIA</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color w:val="1F497D"/>
                <w:sz w:val="22"/>
                <w:szCs w:val="22"/>
              </w:rPr>
            </w:pPr>
            <w:r>
              <w:rPr>
                <w:rFonts w:ascii="Cambria" w:hAnsi="Cambria"/>
                <w:color w:val="1F497D"/>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bookmarkStart w:id="8" w:name="_heading=h.gjdgxs2"/>
            <w:bookmarkEnd w:id="8"/>
            <w:r>
              <w:rPr>
                <w:rFonts w:ascii="Cambria" w:hAnsi="Cambria"/>
                <w:b w:val="false"/>
                <w:color w:val="1F497D"/>
                <w:sz w:val="22"/>
                <w:szCs w:val="22"/>
              </w:rPr>
              <w:t>CURSO 2025-2026</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spacing w:before="0" w:after="200"/>
              <w:cnfStyle w:val="100000000000" w:firstRow="1" w:lastRow="0" w:firstColumn="0" w:lastColumn="0" w:oddVBand="0" w:evenVBand="0" w:oddHBand="0" w:evenHBand="0" w:firstRowFirstColumn="0" w:firstRowLastColumn="0" w:lastRowFirstColumn="0" w:lastRowLastColumn="0"/>
              <w:rPr>
                <w:rFonts w:ascii="Cambria" w:hAnsi="Cambria"/>
                <w:sz w:val="22"/>
                <w:szCs w:val="22"/>
                <w:u w:val="single"/>
              </w:rPr>
            </w:pPr>
            <w:r>
              <w:rPr>
                <w:rFonts w:ascii="Cambria" w:hAnsi="Cambria"/>
                <w:sz w:val="22"/>
                <w:szCs w:val="22"/>
                <w:u w:val="single"/>
              </w:rPr>
            </w:r>
          </w:p>
        </w:tc>
      </w:tr>
    </w:tbl>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jc w:val="both"/>
        <w:rPr/>
      </w:pPr>
      <w:r>
        <w:br w:type="column"/>
      </w:r>
      <w:r>
        <w:rPr>
          <w:rFonts w:eastAsia="Cambria" w:cs="Cambria"/>
          <w:b/>
          <w:sz w:val="22"/>
          <w:szCs w:val="22"/>
          <w:u w:val="single"/>
        </w:rPr>
        <w:t>ÍNDICE</w:t>
      </w:r>
    </w:p>
    <w:p>
      <w:pPr>
        <w:pStyle w:val="Normal"/>
        <w:jc w:val="both"/>
        <w:rPr/>
      </w:pPr>
      <w:r>
        <w:rPr>
          <w:rFonts w:eastAsia="Cambria" w:cs="Cambria"/>
          <w:sz w:val="22"/>
          <w:szCs w:val="22"/>
        </w:rPr>
        <w:t>INTRODUCCIÓN</w:t>
      </w:r>
    </w:p>
    <w:p>
      <w:pPr>
        <w:pStyle w:val="Normal"/>
        <w:jc w:val="both"/>
        <w:rPr/>
      </w:pPr>
      <w:r>
        <w:rPr>
          <w:rFonts w:eastAsia="Cambria" w:cs="Cambria"/>
          <w:sz w:val="22"/>
          <w:szCs w:val="22"/>
        </w:rPr>
        <w:t>1. COMPETENCIAS ESPECÍFICAS Y CRITERIOS DE EVALUACIÓN ASOCIADOS A ELLAS</w:t>
      </w:r>
    </w:p>
    <w:p>
      <w:pPr>
        <w:pStyle w:val="Normal"/>
        <w:jc w:val="both"/>
        <w:rPr/>
      </w:pPr>
      <w:r>
        <w:rPr>
          <w:rFonts w:eastAsia="Cambria" w:cs="Cambria"/>
          <w:sz w:val="22"/>
          <w:szCs w:val="22"/>
        </w:rPr>
        <w:t>2. CONCRECIÓN, AGRUPAMIENTO Y SECUENCIACIÓN DE LOS SABERES BÁSICOS Y DE LOS CRITERIOS DE EVALUACIÓN EN UNIDADES DIDÁCTICAS</w:t>
      </w:r>
    </w:p>
    <w:p>
      <w:pPr>
        <w:pStyle w:val="Normal"/>
        <w:jc w:val="both"/>
        <w:rPr/>
      </w:pPr>
      <w:r>
        <w:rPr>
          <w:rFonts w:eastAsia="Cambria" w:cs="Cambria"/>
          <w:sz w:val="22"/>
          <w:szCs w:val="22"/>
        </w:rPr>
        <w:t>3. PROCEDIMIENTOS E INSTRUMENTOS DE EVALUACIÓN</w:t>
      </w:r>
    </w:p>
    <w:p>
      <w:pPr>
        <w:pStyle w:val="Normal"/>
        <w:jc w:val="both"/>
        <w:rPr/>
      </w:pPr>
      <w:r>
        <w:rPr>
          <w:rFonts w:eastAsia="Cambria" w:cs="Cambria"/>
          <w:sz w:val="22"/>
          <w:szCs w:val="22"/>
        </w:rPr>
        <w:t xml:space="preserve">4. CRITERIOS DE CALIFICACIÓN Y RELACIÓN CON CRITERIOS DE EVALUACIÓN </w:t>
      </w:r>
    </w:p>
    <w:p>
      <w:pPr>
        <w:pStyle w:val="Normal"/>
        <w:jc w:val="both"/>
        <w:rPr/>
      </w:pPr>
      <w:r>
        <w:rPr>
          <w:rFonts w:eastAsia="Cambria" w:cs="Cambria"/>
          <w:sz w:val="22"/>
          <w:szCs w:val="22"/>
        </w:rPr>
        <w:t>5. EVALUACIÓN INICIAL</w:t>
      </w:r>
    </w:p>
    <w:p>
      <w:pPr>
        <w:pStyle w:val="Normal"/>
        <w:jc w:val="both"/>
        <w:rPr/>
      </w:pPr>
      <w:r>
        <w:rPr>
          <w:rFonts w:eastAsia="Cambria" w:cs="Cambria"/>
          <w:sz w:val="22"/>
          <w:szCs w:val="22"/>
        </w:rPr>
        <w:t xml:space="preserve">6. ACTUACIONES GENERALES DE ATENCIÓN A LAS DIFERENCIAS INDIVIDUALES Y ADAPTACIONES CURRICULARES </w:t>
      </w:r>
    </w:p>
    <w:p>
      <w:pPr>
        <w:pStyle w:val="Normal"/>
        <w:jc w:val="both"/>
        <w:rPr/>
      </w:pPr>
      <w:r>
        <w:rPr>
          <w:rFonts w:eastAsia="Cambria" w:cs="Cambria"/>
          <w:sz w:val="22"/>
          <w:szCs w:val="22"/>
        </w:rPr>
        <w:t>7. PLAN DE SEGUIMIENTO PARA EL ALUMNADO QUE NO HA PROMOCIONADO</w:t>
      </w:r>
    </w:p>
    <w:p>
      <w:pPr>
        <w:pStyle w:val="Normal"/>
        <w:jc w:val="both"/>
        <w:rPr/>
      </w:pPr>
      <w:r>
        <w:rPr>
          <w:rFonts w:eastAsia="Cambria" w:cs="Cambria"/>
          <w:sz w:val="22"/>
          <w:szCs w:val="22"/>
        </w:rPr>
        <w:t>8. PLAN DE REFUERZO PARA MATERIAS O ÁMBITOS NO SUPERADOS</w:t>
      </w:r>
    </w:p>
    <w:p>
      <w:pPr>
        <w:pStyle w:val="Normal"/>
        <w:jc w:val="both"/>
        <w:rPr/>
      </w:pPr>
      <w:r>
        <w:rPr>
          <w:rFonts w:eastAsia="Cambria" w:cs="Cambria"/>
          <w:sz w:val="22"/>
          <w:szCs w:val="22"/>
        </w:rPr>
        <w:t>9. ESTRATEGIAS DIDÁCTICAS Y METODOLÓGICAS</w:t>
      </w:r>
    </w:p>
    <w:p>
      <w:pPr>
        <w:pStyle w:val="Normal"/>
        <w:jc w:val="both"/>
        <w:rPr/>
      </w:pPr>
      <w:r>
        <w:rPr>
          <w:rFonts w:eastAsia="Cambria" w:cs="Cambria"/>
          <w:sz w:val="22"/>
          <w:szCs w:val="22"/>
        </w:rPr>
        <w:t>10. CONCRECIÓN DEL PLAN LECTOR</w:t>
      </w:r>
    </w:p>
    <w:p>
      <w:pPr>
        <w:pStyle w:val="Normal"/>
        <w:jc w:val="both"/>
        <w:rPr/>
      </w:pPr>
      <w:r>
        <w:rPr>
          <w:rFonts w:eastAsia="Cambria" w:cs="Cambria"/>
          <w:sz w:val="22"/>
          <w:szCs w:val="22"/>
        </w:rPr>
        <w:t>11. CONCRECIÓN DEL PLAN DE IMPLEMENTACIÓN DE ELEMENTOS TRANSVERSALES</w:t>
      </w:r>
    </w:p>
    <w:p>
      <w:pPr>
        <w:pStyle w:val="Normal"/>
        <w:jc w:val="both"/>
        <w:rPr/>
      </w:pPr>
      <w:r>
        <w:rPr>
          <w:rFonts w:eastAsia="Cambria" w:cs="Cambria"/>
          <w:sz w:val="22"/>
          <w:szCs w:val="22"/>
        </w:rPr>
        <w:t xml:space="preserve">12. CONCRECIÓN DEL PLAN DE UTILIZACIÓN DE LAS TECNOLOGÍAS DIGITALES </w:t>
      </w:r>
    </w:p>
    <w:p>
      <w:pPr>
        <w:pStyle w:val="Normal"/>
        <w:jc w:val="both"/>
        <w:rPr/>
      </w:pPr>
      <w:r>
        <w:rPr>
          <w:rFonts w:eastAsia="Cambria" w:cs="Cambria"/>
          <w:sz w:val="22"/>
          <w:szCs w:val="22"/>
        </w:rPr>
        <w:t>13. EN SU CASO, MEDIDAS COMPLEMENTARIAS QUE SE PLANTEAN PARA EL TRATAMIENTO DE LAS MATERIAS DENTRO DEL PROYECTO BILINGÜE</w:t>
      </w:r>
    </w:p>
    <w:p>
      <w:pPr>
        <w:pStyle w:val="Normal"/>
        <w:jc w:val="both"/>
        <w:rPr/>
      </w:pPr>
      <w:r>
        <w:rPr>
          <w:rFonts w:eastAsia="Cambria" w:cs="Cambria"/>
          <w:sz w:val="22"/>
          <w:szCs w:val="22"/>
        </w:rPr>
        <w:t>14. MECANISMOS DE REVISIÓN, EVALUACIÓN Y MODIFICACIÓN DE LAS PROGRAMACIONES DIDÁCTICAS</w:t>
      </w:r>
    </w:p>
    <w:p>
      <w:pPr>
        <w:pStyle w:val="Normal"/>
        <w:jc w:val="both"/>
        <w:rPr/>
      </w:pPr>
      <w:r>
        <w:rPr>
          <w:rFonts w:eastAsia="Cambria" w:cs="Cambria"/>
          <w:sz w:val="22"/>
          <w:szCs w:val="22"/>
        </w:rPr>
        <w:t>15. ACTIVIDADES COMPLEMENTARIAS Y EXTRAESCOLARES</w:t>
      </w:r>
    </w:p>
    <w:p>
      <w:pPr>
        <w:pStyle w:val="Normal"/>
        <w:jc w:val="both"/>
        <w:rPr/>
      </w:pPr>
      <w:r>
        <w:rPr>
          <w:rFonts w:eastAsia="Cambria" w:cs="Cambria"/>
          <w:smallCaps/>
          <w:sz w:val="22"/>
          <w:szCs w:val="22"/>
        </w:rPr>
        <w:t>16. FORMA EN LA QUE SE DAN A CONOCER LOS ASPECTOS RELEVANTES DE ESTA PROGRAMACIÓN AL ALUMNADO Y LAS FAMILIAS</w:t>
      </w:r>
    </w:p>
    <w:p>
      <w:pPr>
        <w:pStyle w:val="Normal"/>
        <w:jc w:val="both"/>
        <w:rPr/>
      </w:pPr>
      <w:r>
        <w:rPr>
          <w:rFonts w:eastAsia="Cambria" w:cs="Cambria"/>
          <w:sz w:val="22"/>
          <w:szCs w:val="22"/>
        </w:rPr>
        <w:t>17. OTRAS CONSIDERACIONES</w:t>
      </w:r>
    </w:p>
    <w:p>
      <w:pPr>
        <w:pStyle w:val="Normal"/>
        <w:jc w:val="both"/>
        <w:rPr/>
      </w:pPr>
      <w:r>
        <w:br w:type="column"/>
      </w:r>
      <w:r>
        <w:rPr>
          <w:rFonts w:eastAsia="Cambria" w:cs="Cambria"/>
          <w:b/>
          <w:sz w:val="22"/>
          <w:szCs w:val="22"/>
          <w:u w:val="single"/>
        </w:rPr>
        <w:t>INTRODUCCIÓN</w:t>
      </w:r>
    </w:p>
    <w:p>
      <w:pPr>
        <w:pStyle w:val="Normal"/>
        <w:jc w:val="both"/>
        <w:rPr/>
      </w:pPr>
      <w:r>
        <w:rPr>
          <w:rFonts w:eastAsia="Cambria" w:cs="Cambria"/>
          <w:sz w:val="22"/>
          <w:szCs w:val="22"/>
        </w:rPr>
        <w:t>Programación Didáctica de la materia Física y química perteneciente al cuarto curso de ESO.</w:t>
      </w:r>
    </w:p>
    <w:p>
      <w:pPr>
        <w:pStyle w:val="Normal"/>
        <w:jc w:val="both"/>
        <w:rPr/>
      </w:pPr>
      <w:r>
        <w:rPr>
          <w:rFonts w:eastAsia="Cambria" w:cs="Cambria"/>
          <w:sz w:val="22"/>
          <w:szCs w:val="22"/>
        </w:rPr>
        <w:t>La normativa básica para la elaboración de esta programación es:</w:t>
      </w:r>
    </w:p>
    <w:p>
      <w:pPr>
        <w:pStyle w:val="Normal"/>
        <w:numPr>
          <w:ilvl w:val="0"/>
          <w:numId w:val="1"/>
        </w:numPr>
        <w:jc w:val="both"/>
        <w:rPr/>
      </w:pPr>
      <w:r>
        <w:rPr>
          <w:rFonts w:eastAsia="Cambria" w:cs="Cambria"/>
          <w:i/>
          <w:sz w:val="22"/>
          <w:szCs w:val="22"/>
        </w:rPr>
        <w:t>Orden de 18 de mayo de 2015, de la Consejera de Educación, Universidad, Cultura y Deporte, por la que se aprueban las Instrucciones que regulan la organización y el funcionamiento de los Institutos de Educación Secundaria de la Comunidad Autónoma de Aragón, modificada por Orden ECD/779/2016, de 11 de julio.</w:t>
      </w:r>
    </w:p>
    <w:p>
      <w:pPr>
        <w:pStyle w:val="Normal"/>
        <w:numPr>
          <w:ilvl w:val="0"/>
          <w:numId w:val="1"/>
        </w:numPr>
        <w:jc w:val="both"/>
        <w:rPr/>
      </w:pPr>
      <w:r>
        <w:rPr>
          <w:rFonts w:eastAsia="Cambria" w:cs="Cambria"/>
          <w:i/>
          <w:sz w:val="22"/>
          <w:szCs w:val="22"/>
        </w:rPr>
        <w:t>Orden ECD/1172/2022, de 2 de agosto, por la que se aprueban el currículo y las características de la evaluación de Educación Secundaria Obligatoria y se autoriza su aplicación en los centros docentes de la Comunidad Autónoma de Aragón.</w:t>
      </w:r>
    </w:p>
    <w:p>
      <w:pPr>
        <w:pStyle w:val="Normal"/>
        <w:jc w:val="both"/>
        <w:rPr/>
      </w:pPr>
      <w:r>
        <w:rPr>
          <w:rFonts w:eastAsia="Cambria" w:cs="Cambria"/>
          <w:b/>
          <w:sz w:val="22"/>
          <w:szCs w:val="22"/>
          <w:u w:val="single"/>
        </w:rPr>
        <w:t>1. COMPETENCIAS ESPECÍFICAS Y CRITERIOS DE EVALUACIÓN ASOCIADOS A ELLAS</w:t>
      </w:r>
    </w:p>
    <w:p>
      <w:pPr>
        <w:pStyle w:val="Normal"/>
        <w:jc w:val="both"/>
        <w:rPr/>
      </w:pPr>
      <w:r>
        <w:rPr>
          <w:rFonts w:eastAsia="Cambria" w:cs="Cambria"/>
          <w:sz w:val="22"/>
          <w:szCs w:val="22"/>
        </w:rPr>
        <w:t>Tal y como establece la Orden ECD/1172/2022, las competencias específicas de la materia de Física y Química y su relación con los criterios de evaluación de 4º de ESO son las siguientes:</w:t>
      </w:r>
    </w:p>
    <w:tbl>
      <w:tblPr>
        <w:tblStyle w:val="Tablaconcuadrcula"/>
        <w:tblW w:w="9923" w:type="dxa"/>
        <w:jc w:val="center"/>
        <w:tblInd w:w="0" w:type="dxa"/>
        <w:tblCellMar>
          <w:top w:w="0" w:type="dxa"/>
          <w:left w:w="108" w:type="dxa"/>
          <w:bottom w:w="0" w:type="dxa"/>
          <w:right w:w="108" w:type="dxa"/>
        </w:tblCellMar>
        <w:tblLook w:firstRow="1" w:noVBand="1" w:lastRow="0" w:firstColumn="1" w:lastColumn="0" w:noHBand="0" w:val="04a0"/>
      </w:tblPr>
      <w:tblGrid>
        <w:gridCol w:w="4957"/>
        <w:gridCol w:w="4965"/>
      </w:tblGrid>
      <w:tr>
        <w:trPr/>
        <w:tc>
          <w:tcPr>
            <w:tcW w:w="9922" w:type="dxa"/>
            <w:gridSpan w:val="2"/>
            <w:tcBorders/>
            <w:shd w:color="auto" w:fill="92CDDC" w:themeFill="accent5" w:themeFillTint="9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b/>
                <w:color w:val="auto"/>
                <w:sz w:val="22"/>
                <w:szCs w:val="22"/>
                <w:lang w:eastAsia="en-US"/>
              </w:rPr>
              <w:t>CE.FQ.1</w:t>
            </w:r>
          </w:p>
        </w:tc>
      </w:tr>
      <w:tr>
        <w:trPr/>
        <w:tc>
          <w:tcPr>
            <w:tcW w:w="9922" w:type="dxa"/>
            <w:gridSpan w:val="2"/>
            <w:tcBorders/>
            <w:shd w:color="auto" w:fill="DBE5F1" w:themeFill="accent1" w:themeFillTint="33"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Comprender y relacionar los motivos por los que ocurren los principales fenómenos fisicoquímicos del entorno y explicarlos en términos de las leyes y teorías científicas adecuadas para resolver problemas con el fin de aplicarlas para mejorar la realidad cercana y la calidad de vida humana.</w:t>
            </w:r>
          </w:p>
        </w:tc>
      </w:tr>
      <w:tr>
        <w:trPr/>
        <w:tc>
          <w:tcPr>
            <w:tcW w:w="9922" w:type="dxa"/>
            <w:gridSpan w:val="2"/>
            <w:tcBorders/>
            <w:shd w:color="auto" w:fill="auto"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La valoración del grado de adquisición de esta competencia específica se realizará a través del planteamiento de situaciones problema en las que se deban aplicar las leyes y teorías científicas adecuadas, partiendo en los primeros cursos de situaciones simples que se resuelvan de forma directa y sencilla, para ir presentando a lo largo de la etapa situaciones más complejas y cercanas a la realidad que requieran relacionar diferentes conocimientos para su resolución. Se valorará el rigor en los planteamientos y desarrollos, especialmente en el razonamiento de los procedimientos evitando la aplicación mecánica de fórmulas y la presentación adecuada de los resultados utilizando las unidades de medida adecuadas.</w:t>
            </w:r>
          </w:p>
        </w:tc>
      </w:tr>
      <w:tr>
        <w:trPr/>
        <w:tc>
          <w:tcPr>
            <w:tcW w:w="4957"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1.1. Identificar, comprender y explicar los fenómenos fisicoquímicos cotidianos más relevantes a partir de los principios, teorías y leyes científicas adecuadas, expresándolos, de manera argumentada, utilizando diversidad de soportes y medios de comunicación.</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1.2. Resolver los problemas fisicoquímicos planteados utilizando las leyes y teorías científicas adecuadas, razonando los procedimientos utilizados para encontrar las soluciones y expresando adecuadamente los resultados.</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p>
        </w:tc>
        <w:tc>
          <w:tcPr>
            <w:tcW w:w="4965"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1.1. Comprender y explicar con rigor los fenómenos fisicoquímicos cotidianos a partir de los principios, teorías y leyes científicas adecuadas, expresándolos de manera argumentada, utilizando diversidad de soportes y medios de comunicación.</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1.2. Resolver problemas fisicoquímicos planteados mediante las leyes y teorías científicas adecuadas, razonando los procedimientos utilizados para encontrar las soluciones y expresando los resultados con corrección y precisión.</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1.3. Reconocer y describir situaciones problemáticas reales de índole científica y emprender iniciativas colaborativas en las que la ciencia, y en particular la física y la química, pueden contribuir a su solución, analizando críticamente su impacto en la sociedad y el medio ambiente.</w:t>
            </w:r>
          </w:p>
        </w:tc>
      </w:tr>
      <w:tr>
        <w:trPr/>
        <w:tc>
          <w:tcPr>
            <w:tcW w:w="9922" w:type="dxa"/>
            <w:gridSpan w:val="2"/>
            <w:tcBorders/>
            <w:shd w:color="auto" w:fill="92CDDC" w:themeFill="accent5" w:themeFillTint="9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b/>
                <w:color w:val="auto"/>
                <w:sz w:val="22"/>
                <w:szCs w:val="22"/>
                <w:lang w:eastAsia="en-US"/>
              </w:rPr>
              <w:t>CE.FQ.2</w:t>
            </w:r>
          </w:p>
        </w:tc>
      </w:tr>
      <w:tr>
        <w:trPr/>
        <w:tc>
          <w:tcPr>
            <w:tcW w:w="9922" w:type="dxa"/>
            <w:gridSpan w:val="2"/>
            <w:tcBorders/>
            <w:shd w:color="auto" w:fill="DBE5F1" w:themeFill="accent1" w:themeFillTint="33"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Expresar las observaciones realizadas por el alumnado en forma de preguntas, formular hipótesis para explicarlas y demostrar dichas hipótesis a través de la experimentación científica, la indagación y la búsqueda de evidencias, para desarrollar los razonamientos propios del pensamiento científico y mejorar las destrezas en el uso de las metodologías científicas.</w:t>
            </w:r>
          </w:p>
        </w:tc>
      </w:tr>
      <w:tr>
        <w:trPr/>
        <w:tc>
          <w:tcPr>
            <w:tcW w:w="9922" w:type="dxa"/>
            <w:gridSpan w:val="2"/>
            <w:tcBorders/>
            <w:shd w:color="auto" w:fill="auto"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Las metodologías de trabajo en la Ciencia que se plantean en esta competencia específica han mostrado su valor para el avance del conocimiento científico. Se valorará la adquisición de destrezas propias del trabajo científico a partir del planteamiento de situaciones en las que el alumnado deba poner en práctica estas metodologías, identificando cuestiones investigables, planteando hipótesis, diseñando experimentos sencillos para comprobar estas hipótesis y deduciendo de forma razonada conclusiones basándose en las evidencias disponibles. Se comprobará que el alumnado progresa a lo largo de la etapa de acuerdo con la evolución de sus mayores destrezas, especialmente las relacionadas con la capacidad de razonamiento y el de uso de las herramientas matemáticas.</w:t>
            </w:r>
          </w:p>
        </w:tc>
      </w:tr>
      <w:tr>
        <w:trPr/>
        <w:tc>
          <w:tcPr>
            <w:tcW w:w="4957"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2.1. Emplear las metodologías propias de la ciencia en la identificación y descripción de fenómenos a partir de cuestiones a las que se pueda dar respuesta a través de la indagación, la deducción, el trabajo experimental y el razonamiento lógico-matemático, diferenciándolas de aquellas pseudocientíficas que no admiten comprobación experimental.</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2.2. Seleccionar, de acuerdo con la naturaleza de las cuestiones que se traten, la mejor manera de comprobar o refutar las hipótesis formuladas, diseñando estrategias de indagación y búsqueda de evidencias que permitan obtener conclusiones y respuestas ajustadas a la naturaleza de la pregunta formulada.</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2.3. Aplicar las leyes y teorías científicas conocidas al formular cuestiones e hipótesis, siendo coherente con el conocimiento científico existente y diseñando los procedimientos experimentales o deductivos necesarios para resolverlas o comprobarlas.</w:t>
            </w:r>
          </w:p>
        </w:tc>
        <w:tc>
          <w:tcPr>
            <w:tcW w:w="4965"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2.1. Emplear las metodologías propias de la ciencia en la identificación y descripción de  fenómenos científicos a partir de situaciones tanto observadas en el mundo natural como planteadas a través de enunciados con información textual, gráfica o numérica.</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2.2. Predecir, para las cuestiones planteadas, respuestas que se puedan comprobar con las herramientas y conocimientos adquiridos, tanto de forma experimental como deductiva, aplicando el razonamiento lógico-matemático en su proceso de validación.</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2.3. Aplicar las leyes y teorías científicas más importantes para validar hipótesis de manera informada y coherente con el conocimiento científico existente, diseñando los procedimientos experimentales o deductivos necesarios para resolverlas y analizar los resultados críticamente.</w:t>
            </w:r>
          </w:p>
        </w:tc>
      </w:tr>
      <w:tr>
        <w:trPr/>
        <w:tc>
          <w:tcPr>
            <w:tcW w:w="9922" w:type="dxa"/>
            <w:gridSpan w:val="2"/>
            <w:tcBorders/>
            <w:shd w:color="auto" w:fill="92CDDC" w:themeFill="accent5" w:themeFillTint="9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b/>
                <w:color w:val="auto"/>
                <w:sz w:val="22"/>
                <w:szCs w:val="22"/>
                <w:lang w:eastAsia="en-US"/>
              </w:rPr>
              <w:t>CE.FQ.3</w:t>
            </w:r>
          </w:p>
        </w:tc>
      </w:tr>
      <w:tr>
        <w:trPr/>
        <w:tc>
          <w:tcPr>
            <w:tcW w:w="9922" w:type="dxa"/>
            <w:gridSpan w:val="2"/>
            <w:tcBorders/>
            <w:shd w:color="auto" w:fill="DBE5F1" w:themeFill="accent1" w:themeFillTint="33"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(textos, enunciados, tablas, gráficas, informes, manuales, diagramas, fórmulas, esquemas, modelos, símbolos, etc.), para reconocer el carácter universal y transversal del lenguaje científico y la necesidad de una comunicación fiable en investigación y ciencia entre diferentes países y culturas.</w:t>
            </w:r>
          </w:p>
        </w:tc>
      </w:tr>
      <w:tr>
        <w:trPr/>
        <w:tc>
          <w:tcPr>
            <w:tcW w:w="9922" w:type="dxa"/>
            <w:gridSpan w:val="2"/>
            <w:tcBorders/>
            <w:shd w:color="auto" w:fill="auto"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En un mundo globalizado, el uso de estándares es fundamental para el entendimiento y la colaboración que requiere el progreso científico. El alumnado deberá conocer las bases de los lenguajes utilizados en la Ciencia y demostrar que sabe utilizarlos de forma contextualizada. Para ello han de presentarse la información en diferentes formatos que será capaz de interpretar, primero de forma directa y limitando la información a la estrictamente necesaria, para progresivamente plantear situaciones en las que el alumnado demuestre que es capaz de seleccionar la información relevante y utilizarla de acuerdo con las reglas básicas tanto en el desarrollo de la resolución de problemas, como en la comunicación de los resultados.</w:t>
            </w:r>
          </w:p>
        </w:tc>
      </w:tr>
      <w:tr>
        <w:trPr/>
        <w:tc>
          <w:tcPr>
            <w:tcW w:w="4957"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3.1. Emplear datos en diferentes formatos para interpretar y comunicar información relativa a un proceso fisicoquímico concreto, relacionando entre sí lo que cada uno de ellos contiene, y extrayendo en cada caso lo más relevante para la resolución de un problema.</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3.2. Utilizar adecuadamente las reglas básicas de la física y la química, incluyendo el uso de unidades de medida, las herramientas matemáticas y las reglas de nomenclatura, consiguiendo una comunicación efectiva con toda la comunidad científica.</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3.3. Poner en práctica las normas de uso de los espacios específicos de la ciencia, como el laboratorio de Física y Química, asegurando la salud propia y colectiva, la conservación sostenible del medio ambiente y el cuidado de las instalaciones.</w:t>
            </w:r>
          </w:p>
        </w:tc>
        <w:tc>
          <w:tcPr>
            <w:tcW w:w="4965"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3.1. Emplear fuentes variadas, fiables y seguras para seleccionar, interpretar, organizar y comunicar información relativa a un proceso fisicoquímico concreto, relacionando entre sí lo que cada una de ellas contiene, extrayendo en cada caso lo más relevante para la resolución de un problema y desechando todo lo que sea irrelevante.</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3.2. Utilizar adecuadamente las reglas básicas de la física y la química, incluyendo el uso correcto de varios sistemas de unidades, las herramientas matemáticas necesarias y las reglas de nomenclatura avanzadas, consiguiendo una comunicación efectiva con toda la comunidad científica.</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3.3. Aplicar con rigor las normas de uso de los espacios específicos de la ciencia, como el laboratorio de Física y Química, asegurando la salud propia y colectiva, la conservación sostenible del medio ambiente y el cuidado por las instalaciones.</w:t>
            </w:r>
          </w:p>
        </w:tc>
      </w:tr>
      <w:tr>
        <w:trPr/>
        <w:tc>
          <w:tcPr>
            <w:tcW w:w="9922" w:type="dxa"/>
            <w:gridSpan w:val="2"/>
            <w:tcBorders/>
            <w:shd w:color="auto" w:fill="92CDDC" w:themeFill="accent5" w:themeFillTint="9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b/>
                <w:color w:val="auto"/>
                <w:sz w:val="22"/>
                <w:szCs w:val="22"/>
                <w:lang w:eastAsia="en-US"/>
              </w:rPr>
              <w:t>CE.FQ.4</w:t>
            </w:r>
          </w:p>
        </w:tc>
      </w:tr>
      <w:tr>
        <w:trPr/>
        <w:tc>
          <w:tcPr>
            <w:tcW w:w="9922" w:type="dxa"/>
            <w:gridSpan w:val="2"/>
            <w:tcBorders/>
            <w:shd w:color="auto" w:fill="DBE5F1" w:themeFill="accent1" w:themeFillTint="33"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Utilizar de forma crítica, eficiente y segura plataformas digitales y recursos variados, tanto para el trabajo individual como en equipo, para fomentar la creatividad, el desarrollo personal y el aprendizaje individual y social, mediante la consulta de información, la creación de materiales y la comunicación efectiva en los diferentes entornos de aprendizaje.</w:t>
            </w:r>
          </w:p>
        </w:tc>
      </w:tr>
      <w:tr>
        <w:trPr/>
        <w:tc>
          <w:tcPr>
            <w:tcW w:w="9922" w:type="dxa"/>
            <w:gridSpan w:val="2"/>
            <w:tcBorders/>
            <w:shd w:color="auto" w:fill="auto"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El desarrollo de la Competencia Digital sigue siendo esencial en esta etapa de Secundaria por lo que se aborda como competencia transversal y debería estar adquirida al final de la enseñanza obligatoria. Durante toda la Secundaria, en el área de Física y Química, se permite al alumnado conocer las fuentes de información y las aplicaciones informáticas para analizar el entorno que le rodea. En este área, el alumnado también podrá desarrollar destrezas necesarias para acceder a la información, procesarla y usarla para comunicarse de manera responsable, diseñar y crear contenidos, y resolver los problemas reales de un modo eficiente. Se pretende enriquecer las actividades de trabajo colaborativo entre el alumnado aumentando su curiosidad científica y su motivación por el aprendizaje sin olvidar el respeto a los principios éticos de uso y el conocimiento de sus derechos y libertades en el mundo digital.</w:t>
            </w:r>
          </w:p>
        </w:tc>
      </w:tr>
      <w:tr>
        <w:trPr/>
        <w:tc>
          <w:tcPr>
            <w:tcW w:w="4957"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4.1. Utilizar recursos variados, tradicionales y digitales, mejorando el aprendizaje autónomo y la interacción con otros miembros de la comunidad educativa, con respeto hacia docentes y estudiantes y analizando críticamente las aportaciones de cada participante.</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4.2. Trabajar de forma adecuada con medios variados, tradicionales y digitales, en la consulta de información y la creación de contenidos, seleccionando con criterio las fuentes más fiables y desechando las menos adecuadas y mejorando el aprendizaje propio y colectivo.</w:t>
            </w:r>
          </w:p>
        </w:tc>
        <w:tc>
          <w:tcPr>
            <w:tcW w:w="4965"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4.1. Utilizar de forma eficiente recursos variados, tradicionales y digitales, mejorando el aprendizaje autónomo y la interacción con otros miembros de la comunidad educativa, de forma rigurosa y respetuosa y analizando críticamente las aportaciones de todos.</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4.2. Trabajar de forma versátil con medios variados, tradicionales y digitales, en la consulta de información y la creación de contenidos, seleccionando y empleando con criterio las fuentes y herramientas más fiables, desechando las menos adecuadas y mejorando el aprendizaje propio y colectivo.</w:t>
            </w:r>
          </w:p>
        </w:tc>
      </w:tr>
      <w:tr>
        <w:trPr/>
        <w:tc>
          <w:tcPr>
            <w:tcW w:w="9922" w:type="dxa"/>
            <w:gridSpan w:val="2"/>
            <w:tcBorders/>
            <w:shd w:color="auto" w:fill="92CDDC" w:themeFill="accent5" w:themeFillTint="9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b/>
                <w:color w:val="auto"/>
                <w:sz w:val="22"/>
                <w:szCs w:val="22"/>
                <w:lang w:eastAsia="en-US"/>
              </w:rPr>
              <w:t>CE.FQ.5</w:t>
            </w:r>
          </w:p>
        </w:tc>
      </w:tr>
      <w:tr>
        <w:trPr/>
        <w:tc>
          <w:tcPr>
            <w:tcW w:w="9922" w:type="dxa"/>
            <w:gridSpan w:val="2"/>
            <w:tcBorders/>
            <w:shd w:color="auto" w:fill="DBE5F1" w:themeFill="accent1" w:themeFillTint="33"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Utilizar las estrategias propias del trabajo colaborativo que permitan potenciar el crecimiento entre iguales como base emprendedora de una comunidad científica crítica, ética y eficiente, para comprender la importancia de la ciencia en la mejora de la sociedad, las aplicaciones y repercusiones de los avances científicos, la preservación de la salud y la conservación sostenible del medio ambiente.</w:t>
            </w:r>
          </w:p>
        </w:tc>
      </w:tr>
      <w:tr>
        <w:trPr/>
        <w:tc>
          <w:tcPr>
            <w:tcW w:w="9922" w:type="dxa"/>
            <w:gridSpan w:val="2"/>
            <w:tcBorders/>
            <w:shd w:color="auto" w:fill="auto"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El trabajo colaborativo es una metodología educativa que promueve el aprendizaje centrado en el alumno y basado en el trabajo en grupos pequeños, en los que el alumnado con diferente nivel de habilidad utiliza una variedad de actividades de aprendizaje para mejorar su entendimiento. Se trata de fomentar las interacciones constructivas entre los alumnos del equipo presentando situaciones relacionadas con diferentes ámbitos de la ciencia que les facilite aparecer como sujetos activos de su propio proceso de aprendizaje. Todo ello se llevará a cabo desde la garantía de la equidad entre mujeres y hombres, fomentando así la coeducación y disfrutando de la riqueza que ofrece la variedad. Asimismo, es necesario que el alumnado sea capaz de iniciar y llevar a cabo proyectos de carácter científico que tengan como base fundamental la metodología impartida. Todos ellos, deben de presentar un carácter integrador para que el alumno se implique en la mejora y enriquecimiento del ámbito social, fomentando así el aprendizaje significativo, y a su vez se reconozca y se reafirme la utilidad que poseen los resultados para el individuo como ser y como sociedad en continuo cambio. Concretamente, en 2º y 3º de la ESO, el alumnado debe de ser guiado a lo largo de la elaboración de los proyectos, brindándoles todo tipo de pautas para que en todo momento su trabajo esté encaminado hacia el producto final. Sin embargo, en 4º de la ESO, se considera que los alumnos deben comenzar a desarrollar estrategias de autonomía y emprendimiento, de tal manera que se fomente la autodisciplina, la creatividad y el compromiso, entre otros, pero siempre considerando al profesorado como guía principal.</w:t>
            </w:r>
          </w:p>
        </w:tc>
      </w:tr>
      <w:tr>
        <w:trPr/>
        <w:tc>
          <w:tcPr>
            <w:tcW w:w="4957"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5.1. Establecer interacciones constructivas y coeducativas, emprendiendo actividades de cooperación como forma de construir un medio de trabajo eficiente en la ciencia.</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5.2. Emprender, de forma guiada y de acuerdo a la metodología adecuada, proyectos científicos que involucren al alumnado en la mejora de la sociedad y que creen valor para el individuo y para la comunidad.</w:t>
            </w:r>
          </w:p>
        </w:tc>
        <w:tc>
          <w:tcPr>
            <w:tcW w:w="4965"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5.1. Establecer interacciones constructivas y coeducativas, emprendiendo actividades de cooperación e iniciando el uso de las estrategias propias del trabajo colaborativo, como forma de construir un medio de trabajo eficiente en la ciencia.</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5.2. Emprender, de forma autónoma y de acuerdo a la metodología adecuada, proyectos científicos que involucren al alumnado en la mejora de la sociedad y que creen valor para el individuo y para la comunidad.</w:t>
            </w:r>
          </w:p>
        </w:tc>
      </w:tr>
      <w:tr>
        <w:trPr/>
        <w:tc>
          <w:tcPr>
            <w:tcW w:w="9922" w:type="dxa"/>
            <w:gridSpan w:val="2"/>
            <w:tcBorders/>
            <w:shd w:color="auto" w:fill="92CDDC" w:themeFill="accent5" w:themeFillTint="9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b/>
                <w:color w:val="auto"/>
                <w:sz w:val="22"/>
                <w:szCs w:val="22"/>
                <w:lang w:eastAsia="en-US"/>
              </w:rPr>
              <w:t>CE.FQ.6</w:t>
            </w:r>
          </w:p>
        </w:tc>
      </w:tr>
      <w:tr>
        <w:trPr/>
        <w:tc>
          <w:tcPr>
            <w:tcW w:w="9922" w:type="dxa"/>
            <w:gridSpan w:val="2"/>
            <w:tcBorders/>
            <w:shd w:color="auto" w:fill="DBE5F1" w:themeFill="accent1" w:themeFillTint="33"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Comprender y valorar la ciencia como una construcción colectiva en continuo cambio y evolución, en la que no solo participan las personas dedicadas a la ciencia, sino que también requiere de una interacción con el resto de la sociedad, para obtener resultados que repercutan en el avance tecnológico, económico, ambiental y social.</w:t>
            </w:r>
          </w:p>
        </w:tc>
      </w:tr>
      <w:tr>
        <w:trPr/>
        <w:tc>
          <w:tcPr>
            <w:tcW w:w="9922" w:type="dxa"/>
            <w:gridSpan w:val="2"/>
            <w:tcBorders/>
            <w:shd w:color="auto" w:fill="auto" w:val="clear"/>
          </w:tcPr>
          <w:p>
            <w:pPr>
              <w:pStyle w:val="Normal"/>
              <w:spacing w:lineRule="auto" w:line="240" w:before="0" w:after="0"/>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Se considera que el alumnado debe entender el concepto de ciencia vinculado a la sociedad, no como algo estático, sino como una constante evolución que a su vez es inherente al ser humano. En ella, la participación de los profesionales de la ciencia es tan importante como la propia interacción que ellos mismos deben llevar a cabo con la sociedad. En consecuencia, los resultados obtenidos, trascenderán de manera directa en el progreso de los diferentes ámbitos propios de la colectividad. Es esencial que el alumnado trabaje mediante un proceso de reconocimiento y valoración de los aspectos históricos más relevantes llevados a cabo por hombres y mujeres, así como el progreso de los mismos, teniendo también en cuenta los contextos contemporáneos. Algunos aspectos a considerar son: los límites de la ciencia, las cuestiones éticas y la confianza en los científicos y en su actividad. Considerar la ciencia además de como una evolución, como una constante construcción que lleva a cabo una influencia recíproca entre la ciencia coetánea, la tecnología, la comunidad y el medio ambiente. Además, el alumnado debe descubrir y analizar las necesidades existentes en nuestra actualidad, para conocer todas las posibilidades de acción que tiene la ciencia para solventar las mismas de manera sostenible y llevada a cabo mediante la implicación de la comunidad. Concretamente, en 4º de la ESO, es necesario que este análisis sea realizado y estudiado de manera global.</w:t>
            </w:r>
          </w:p>
        </w:tc>
      </w:tr>
      <w:tr>
        <w:trPr/>
        <w:tc>
          <w:tcPr>
            <w:tcW w:w="4957"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rFonts w:ascii="Calibri" w:hAnsi="Calibri" w:eastAsia="Calibri" w:cs="" w:asciiTheme="minorHAnsi" w:cstheme="minorBidi" w:eastAsiaTheme="minorHAnsi" w:hAnsiTheme="minorHAnsi"/>
                <w:color w:val="auto"/>
                <w:lang w:eastAsia="en-US"/>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6.2. Detectar en el entorno las necesidades tecnológicas, ambientales, económicas y sociales más importantes que demanda la sociedad, entendiendo la capacidad de la ciencia para darles solución sostenible a través de la implicación de toda la ciudadanía.</w:t>
            </w:r>
          </w:p>
        </w:tc>
        <w:tc>
          <w:tcPr>
            <w:tcW w:w="4965" w:type="dxa"/>
            <w:tcBorders/>
            <w:shd w:color="auto" w:fill="auto" w:val="clear"/>
          </w:tcPr>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6.1. Reconocer y valorar, a través del análisis histórico de los avances científicos logrados por mujeres y hombres, así como de situaciones y contextos actuales (líneas de investigación, instituciones científicas, etc.), que la ciencia es un proceso en permanente construcción y las repercusiones e implicaciones sociales, económicas y medioambientales de la ciencia actual en la sociedad.</w:t>
            </w:r>
          </w:p>
          <w:p>
            <w:pPr>
              <w:pStyle w:val="DC1"/>
              <w:spacing w:lineRule="auto" w:line="240" w:before="0" w:after="0"/>
              <w:contextualSpacing/>
              <w:rPr>
                <w:rFonts w:ascii="Calibri" w:hAnsi="Calibri" w:eastAsia="Calibri" w:cs="" w:asciiTheme="minorHAnsi" w:cstheme="minorBidi" w:eastAsiaTheme="minorHAnsi" w:hAnsiTheme="minorHAnsi"/>
                <w:color w:val="auto"/>
                <w:lang w:eastAsia="en-US"/>
              </w:rPr>
            </w:pPr>
            <w:r>
              <w:rPr>
                <w:rFonts w:eastAsia="Calibri" w:cs="" w:cstheme="minorBidi" w:eastAsiaTheme="minorHAnsi"/>
                <w:color w:val="auto"/>
                <w:sz w:val="22"/>
                <w:szCs w:val="22"/>
                <w:lang w:eastAsia="en-US"/>
              </w:rPr>
              <w:t>6.2. Detectar las necesidades tecnológicas, ambientales, económicas y sociales más importantes que demanda la sociedad, entendiendo la capacidad de la ciencia para darles solución sostenible a través de la implicación de toda la ciudadanía.</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pPr>
      <w:r>
        <w:rPr>
          <w:rFonts w:eastAsia="Cambria" w:cs="Cambria"/>
          <w:b/>
          <w:sz w:val="22"/>
          <w:szCs w:val="22"/>
          <w:u w:val="single"/>
        </w:rPr>
        <w:t>2. CONCRECIÓN, AGRUPAMIENTO Y SECUENCIACIÓN DE LOS SABERES BÁSICOS Y DE LOS CRITERIOS DE EVALUACIÓN EN UNIDADES DIDÁCTICAS</w:t>
      </w:r>
    </w:p>
    <w:tbl>
      <w:tblPr>
        <w:tblW w:w="8484" w:type="dxa"/>
        <w:jc w:val="left"/>
        <w:tblInd w:w="0" w:type="dxa"/>
        <w:tblCellMar>
          <w:top w:w="0" w:type="dxa"/>
          <w:left w:w="115" w:type="dxa"/>
          <w:bottom w:w="0" w:type="dxa"/>
          <w:right w:w="115" w:type="dxa"/>
        </w:tblCellMar>
        <w:tblLook w:firstRow="1" w:noVBand="1" w:lastRow="0" w:firstColumn="1" w:lastColumn="0" w:noHBand="0" w:val="04a0"/>
      </w:tblPr>
      <w:tblGrid>
        <w:gridCol w:w="3368"/>
        <w:gridCol w:w="1584"/>
        <w:gridCol w:w="3532"/>
      </w:tblGrid>
      <w:tr>
        <w:trPr/>
        <w:tc>
          <w:tcPr>
            <w:tcW w:w="8484" w:type="dxa"/>
            <w:gridSpan w:val="3"/>
            <w:tcBorders>
              <w:top w:val="single" w:sz="8" w:space="0" w:color="000000"/>
              <w:left w:val="single" w:sz="8" w:space="0" w:color="000000"/>
              <w:bottom w:val="single" w:sz="8" w:space="0" w:color="000000"/>
              <w:right w:val="single" w:sz="8" w:space="0" w:color="000000"/>
            </w:tcBorders>
            <w:shd w:color="auto" w:fill="4F81BD" w:themeFill="accent1" w:val="clear"/>
          </w:tcPr>
          <w:p>
            <w:pPr>
              <w:pStyle w:val="Normal"/>
              <w:spacing w:lineRule="auto" w:line="240" w:before="0" w:after="120"/>
              <w:jc w:val="center"/>
              <w:rPr/>
            </w:pPr>
            <w:r>
              <w:rPr>
                <w:rFonts w:eastAsia="Times New Roman" w:cs="Calibri" w:cstheme="minorHAnsi"/>
                <w:b/>
                <w:bCs/>
                <w:color w:val="FFFFFF"/>
                <w:sz w:val="22"/>
                <w:szCs w:val="22"/>
              </w:rPr>
              <w:t>CONCRECIÓN CURRICULAR DEL ÁREA EN EL CURSO 4º ESO</w:t>
            </w:r>
          </w:p>
        </w:tc>
      </w:tr>
      <w:tr>
        <w:trPr/>
        <w:tc>
          <w:tcPr>
            <w:tcW w:w="3368" w:type="dxa"/>
            <w:tcBorders>
              <w:top w:val="single" w:sz="8" w:space="0" w:color="000000"/>
              <w:left w:val="single" w:sz="8" w:space="0" w:color="000000"/>
              <w:bottom w:val="single" w:sz="8" w:space="0" w:color="000000"/>
              <w:right w:val="single" w:sz="8" w:space="0" w:color="000000"/>
            </w:tcBorders>
            <w:shd w:color="auto" w:fill="4F81BD" w:themeFill="accent1" w:val="clear"/>
            <w:vAlign w:val="center"/>
          </w:tcPr>
          <w:p>
            <w:pPr>
              <w:pStyle w:val="Normal"/>
              <w:spacing w:lineRule="auto" w:line="240" w:before="0" w:after="120"/>
              <w:jc w:val="center"/>
              <w:rPr/>
            </w:pPr>
            <w:r>
              <w:rPr>
                <w:rFonts w:eastAsia="Times New Roman" w:cs="Calibri" w:cstheme="minorHAnsi"/>
                <w:b/>
                <w:bCs/>
                <w:color w:val="auto"/>
                <w:sz w:val="22"/>
                <w:szCs w:val="22"/>
              </w:rPr>
              <w:t>Competencias específicas</w:t>
            </w:r>
          </w:p>
        </w:tc>
        <w:tc>
          <w:tcPr>
            <w:tcW w:w="1584" w:type="dxa"/>
            <w:tcBorders>
              <w:top w:val="single" w:sz="8" w:space="0" w:color="000000"/>
              <w:left w:val="single" w:sz="8" w:space="0" w:color="000000"/>
              <w:bottom w:val="single" w:sz="8" w:space="0" w:color="000000"/>
              <w:right w:val="single" w:sz="8" w:space="0" w:color="000000"/>
            </w:tcBorders>
            <w:shd w:color="auto" w:fill="4F81BD" w:themeFill="accent1" w:val="clear"/>
            <w:vAlign w:val="center"/>
          </w:tcPr>
          <w:p>
            <w:pPr>
              <w:pStyle w:val="Normal"/>
              <w:spacing w:lineRule="auto" w:line="240" w:before="0" w:after="120"/>
              <w:jc w:val="center"/>
              <w:rPr/>
            </w:pPr>
            <w:r>
              <w:rPr>
                <w:rFonts w:eastAsia="Times New Roman" w:cs="Calibri" w:cstheme="minorHAnsi"/>
                <w:b/>
                <w:bCs/>
                <w:color w:val="auto"/>
                <w:sz w:val="22"/>
                <w:szCs w:val="22"/>
              </w:rPr>
              <w:t>Descriptores del perfil de salida</w:t>
            </w:r>
          </w:p>
        </w:tc>
        <w:tc>
          <w:tcPr>
            <w:tcW w:w="3532" w:type="dxa"/>
            <w:tcBorders>
              <w:top w:val="single" w:sz="8" w:space="0" w:color="000000"/>
              <w:left w:val="single" w:sz="8" w:space="0" w:color="000000"/>
              <w:bottom w:val="single" w:sz="4" w:space="0" w:color="000000"/>
              <w:right w:val="single" w:sz="8" w:space="0" w:color="000000"/>
            </w:tcBorders>
            <w:shd w:color="auto" w:fill="4F81BD" w:themeFill="accent1" w:val="clear"/>
          </w:tcPr>
          <w:p>
            <w:pPr>
              <w:pStyle w:val="Normal"/>
              <w:spacing w:lineRule="auto" w:line="240" w:before="0" w:after="120"/>
              <w:jc w:val="center"/>
              <w:rPr/>
            </w:pPr>
            <w:r>
              <w:rPr>
                <w:rFonts w:eastAsia="Times New Roman" w:cs="Calibri" w:cstheme="minorHAnsi"/>
                <w:b/>
                <w:bCs/>
                <w:color w:val="auto"/>
                <w:sz w:val="22"/>
                <w:szCs w:val="22"/>
              </w:rPr>
              <w:t>Criterios de evaluación </w:t>
            </w:r>
          </w:p>
          <w:p>
            <w:pPr>
              <w:pStyle w:val="Normal"/>
              <w:spacing w:lineRule="auto" w:line="240" w:before="0" w:after="120"/>
              <w:jc w:val="center"/>
              <w:rPr/>
            </w:pPr>
            <w:r>
              <w:rPr>
                <w:rFonts w:eastAsia="Times New Roman" w:cs="Calibri" w:cstheme="minorHAnsi"/>
                <w:b/>
                <w:bCs/>
                <w:color w:val="auto"/>
                <w:sz w:val="22"/>
                <w:szCs w:val="22"/>
              </w:rPr>
              <w:t>Cursos 4.º de Educación Secundaria Obligatoria</w:t>
            </w:r>
          </w:p>
        </w:tc>
      </w:tr>
      <w:tr>
        <w:trPr>
          <w:trHeight w:val="1251" w:hRule="atLeast"/>
        </w:trPr>
        <w:tc>
          <w:tcPr>
            <w:tcW w:w="3368"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pPr>
            <w:r>
              <w:rPr>
                <w:rFonts w:eastAsia="Times New Roman" w:cs="Calibri" w:cstheme="minorHAnsi"/>
                <w:b/>
                <w:bCs/>
                <w:color w:val="auto"/>
                <w:sz w:val="22"/>
                <w:szCs w:val="22"/>
              </w:rPr>
              <w:t>CE.FQ.1.</w:t>
            </w:r>
            <w:r>
              <w:rPr>
                <w:rFonts w:eastAsia="Times New Roman" w:cs="Calibri" w:cstheme="minorHAnsi"/>
                <w:color w:val="auto"/>
                <w:sz w:val="22"/>
                <w:szCs w:val="22"/>
              </w:rPr>
              <w:t xml:space="preserve"> </w:t>
            </w:r>
            <w:r>
              <w:rPr>
                <w:rFonts w:eastAsia="Times New Roman" w:cs="Calibri" w:cstheme="minorHAnsi"/>
                <w:color w:val="000000"/>
                <w:sz w:val="22"/>
                <w:szCs w:val="22"/>
              </w:rPr>
              <w:t>Comprender y relacionar los motivos por los que ocurren los principales fenómenos fisicoquímicos del entorno, explicándolos en términos de las leyes y teorías científicas adecuadas, para resolver problemas con el fin de aplicarlas para mejorar la realidad cercana y la calidad de vida humana.</w:t>
            </w:r>
          </w:p>
        </w:tc>
        <w:tc>
          <w:tcPr>
            <w:tcW w:w="1584"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jc w:val="center"/>
              <w:rPr/>
            </w:pPr>
            <w:r>
              <w:rPr>
                <w:rFonts w:eastAsia="Times New Roman" w:cs="Calibri" w:cstheme="minorHAnsi"/>
                <w:color w:val="000000"/>
                <w:sz w:val="22"/>
                <w:szCs w:val="22"/>
              </w:rPr>
              <w:t>CCL1, STEM1, STEM2, STEM4, CPSAA4. </w:t>
            </w:r>
          </w:p>
        </w:tc>
        <w:tc>
          <w:tcPr>
            <w:tcW w:w="3532"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1.1. </w:t>
            </w:r>
            <w:r>
              <w:rPr>
                <w:rFonts w:eastAsia="Times New Roman" w:cs="Calibri" w:cstheme="minorHAnsi"/>
                <w:color w:val="000000"/>
                <w:sz w:val="22"/>
                <w:szCs w:val="22"/>
              </w:rPr>
              <w:t>Comprender y explicar con rigor los fenómenos fisicoquímicos cotidianos a partir de los principios, teorías y leyes científicas adecuadas, expresándolos de manera argumentada, utilizando diversidad de soportes y medios de comunicación.</w:t>
            </w:r>
            <w:r>
              <w:rPr>
                <w:rFonts w:eastAsia="Times New Roman" w:cs="Calibri" w:cstheme="minorHAnsi"/>
                <w:b/>
                <w:bCs/>
                <w:color w:val="000000"/>
                <w:sz w:val="22"/>
                <w:szCs w:val="22"/>
              </w:rPr>
              <w:t> </w:t>
            </w:r>
          </w:p>
        </w:tc>
      </w:tr>
      <w:tr>
        <w:trPr>
          <w:trHeight w:val="1343" w:hRule="atLeast"/>
        </w:trPr>
        <w:tc>
          <w:tcPr>
            <w:tcW w:w="3368"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2"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1.2. </w:t>
            </w:r>
            <w:r>
              <w:rPr>
                <w:rFonts w:eastAsia="Times New Roman" w:cs="Calibri" w:cstheme="minorHAnsi"/>
                <w:color w:val="000000"/>
                <w:sz w:val="22"/>
                <w:szCs w:val="22"/>
              </w:rPr>
              <w:t>Resolver problemas fisicoquímicos planteados mediante las leyes y teorías científicas adecuadas, razonando los procedimientos utilizados para encontrar las soluciones y expresando los resultados con corrección y precisión.</w:t>
            </w:r>
          </w:p>
        </w:tc>
      </w:tr>
      <w:tr>
        <w:trPr>
          <w:trHeight w:val="853" w:hRule="atLeast"/>
        </w:trPr>
        <w:tc>
          <w:tcPr>
            <w:tcW w:w="3368"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2"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1.3. </w:t>
            </w:r>
            <w:r>
              <w:rPr>
                <w:rFonts w:eastAsia="Times New Roman" w:cs="Calibri" w:cstheme="minorHAnsi"/>
                <w:color w:val="000000"/>
                <w:sz w:val="22"/>
                <w:szCs w:val="22"/>
              </w:rPr>
              <w:t>Reconocer y describir situaciones problemáticas reales de índole científica y emprender iniciativas colaborativas en las que la ciencia, y en particular la física y la química, pueden contribuir a su solución, analizando críticamente su impacto en la sociedad y el medio ambiente.</w:t>
            </w:r>
            <w:r>
              <w:rPr>
                <w:rFonts w:eastAsia="Times New Roman" w:cs="Calibri" w:cstheme="minorHAnsi"/>
                <w:b/>
                <w:bCs/>
                <w:color w:val="8FB91E"/>
                <w:sz w:val="22"/>
                <w:szCs w:val="22"/>
              </w:rPr>
              <w:t> </w:t>
            </w:r>
          </w:p>
        </w:tc>
      </w:tr>
      <w:tr>
        <w:trPr>
          <w:trHeight w:val="262" w:hRule="atLeast"/>
        </w:trPr>
        <w:tc>
          <w:tcPr>
            <w:tcW w:w="3368" w:type="dxa"/>
            <w:vMerge w:val="restart"/>
            <w:tcBorders>
              <w:left w:val="single" w:sz="8" w:space="0" w:color="000000"/>
              <w:right w:val="single" w:sz="8"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CE.FQ.2. </w:t>
            </w:r>
            <w:r>
              <w:rPr>
                <w:rFonts w:eastAsia="Times New Roman" w:cs="Calibri" w:cstheme="minorHAnsi"/>
                <w:color w:val="000000"/>
                <w:sz w:val="22"/>
                <w:szCs w:val="22"/>
              </w:rPr>
              <w:t>Expresar las observaciones realizadas por el alumnado en forma de preguntas, formulando hipótesis para explicarlas y demostrando dichas hipótesis a través de la experimentación científica, la indagación y la búsqueda de evidencias, para desarrollar los razonamientos propios del pensamiento científico y mejorar las destrezas en el uso de las metodologías científicas.</w:t>
            </w:r>
          </w:p>
        </w:tc>
        <w:tc>
          <w:tcPr>
            <w:tcW w:w="1584" w:type="dxa"/>
            <w:vMerge w:val="restart"/>
            <w:tcBorders>
              <w:left w:val="single" w:sz="8" w:space="0" w:color="000000"/>
              <w:right w:val="single" w:sz="8" w:space="0" w:color="000000"/>
            </w:tcBorders>
            <w:shd w:fill="auto" w:val="clear"/>
          </w:tcPr>
          <w:p>
            <w:pPr>
              <w:pStyle w:val="Normal"/>
              <w:spacing w:lineRule="auto" w:line="240" w:before="0" w:after="120"/>
              <w:jc w:val="center"/>
              <w:rPr/>
            </w:pPr>
            <w:r>
              <w:rPr>
                <w:rFonts w:eastAsia="Times New Roman" w:cs="Calibri" w:cstheme="minorHAnsi"/>
                <w:color w:val="000000"/>
                <w:sz w:val="22"/>
                <w:szCs w:val="22"/>
              </w:rPr>
              <w:t>CCL1, CCL3, STEM1, STEM2, CD1, CPSAA4, CE1, CCEC3.</w:t>
            </w:r>
          </w:p>
        </w:tc>
        <w:tc>
          <w:tcPr>
            <w:tcW w:w="3532"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2.1. </w:t>
            </w:r>
            <w:r>
              <w:rPr>
                <w:rFonts w:eastAsia="Times New Roman" w:cs="Calibri" w:cstheme="minorHAnsi"/>
                <w:color w:val="000000"/>
                <w:sz w:val="22"/>
                <w:szCs w:val="22"/>
              </w:rPr>
              <w:t>Emplear las metodologías propias de la ciencia en la identificación y descripción de fenómenos científicos a partir de situaciones tanto observadas en el mundo natural como planteadas a través de enunciados con información textual, gráfica o numérica. </w:t>
            </w:r>
          </w:p>
        </w:tc>
      </w:tr>
      <w:tr>
        <w:trPr>
          <w:trHeight w:val="261" w:hRule="atLeast"/>
        </w:trPr>
        <w:tc>
          <w:tcPr>
            <w:tcW w:w="3368" w:type="dxa"/>
            <w:vMerge w:val="continue"/>
            <w:tcBorders>
              <w:left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left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2"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2.2. </w:t>
            </w:r>
            <w:r>
              <w:rPr>
                <w:rFonts w:eastAsia="Times New Roman" w:cs="Calibri" w:cstheme="minorHAnsi"/>
                <w:color w:val="000000"/>
                <w:sz w:val="22"/>
                <w:szCs w:val="22"/>
              </w:rPr>
              <w:t>Predecir, para las cuestiones planteadas, respuestas que se puedan comprobar con las herramientas y conocimientos adquiridos, tanto de forma experimental como deductiva, aplicando el razonamiento lógico-matemático en su proceso de validación. </w:t>
            </w:r>
          </w:p>
        </w:tc>
      </w:tr>
      <w:tr>
        <w:trPr>
          <w:trHeight w:val="261" w:hRule="atLeast"/>
        </w:trPr>
        <w:tc>
          <w:tcPr>
            <w:tcW w:w="3368" w:type="dxa"/>
            <w:vMerge w:val="continue"/>
            <w:tcBorders>
              <w:left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left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2"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2.3. </w:t>
            </w:r>
            <w:r>
              <w:rPr>
                <w:rFonts w:eastAsia="Times New Roman" w:cs="Calibri" w:cstheme="minorHAnsi"/>
                <w:color w:val="000000"/>
                <w:sz w:val="22"/>
                <w:szCs w:val="22"/>
              </w:rPr>
              <w:t>Aplicar las leyes y teorías científicas más importantes para validar hipótesis de manera informada y coherente con el conocimiento científico existente, diseñando los procedimientos experimentales o deductivos necesarios para resolverlas y analizar los resultados críticamente.</w:t>
            </w:r>
            <w:r>
              <w:rPr>
                <w:rFonts w:eastAsia="Times New Roman" w:cs="Calibri" w:cstheme="minorHAnsi"/>
                <w:b/>
                <w:bCs/>
                <w:color w:val="8FB91E"/>
                <w:sz w:val="22"/>
                <w:szCs w:val="22"/>
              </w:rPr>
              <w:t> </w:t>
            </w:r>
          </w:p>
        </w:tc>
      </w:tr>
      <w:tr>
        <w:trPr>
          <w:trHeight w:val="1401" w:hRule="atLeast"/>
        </w:trPr>
        <w:tc>
          <w:tcPr>
            <w:tcW w:w="3368"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CE.FQ.3. </w:t>
            </w:r>
            <w:r>
              <w:rPr>
                <w:rFonts w:eastAsia="Times New Roman" w:cs="Calibri" w:cstheme="minorHAnsi"/>
                <w:color w:val="000000"/>
                <w:sz w:val="22"/>
                <w:szCs w:val="22"/>
              </w:rPr>
              <w:t>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para reconocer el carácter universal y transversal del lenguaje científico y la necesidad de una comunicación fiable en investigación y ciencia entre diferentes países y culturas.</w:t>
            </w:r>
          </w:p>
        </w:tc>
        <w:tc>
          <w:tcPr>
            <w:tcW w:w="1584"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jc w:val="center"/>
              <w:rPr/>
            </w:pPr>
            <w:r>
              <w:rPr>
                <w:rFonts w:eastAsia="Times New Roman" w:cs="Calibri" w:cstheme="minorHAnsi"/>
                <w:color w:val="000000"/>
                <w:sz w:val="22"/>
                <w:szCs w:val="22"/>
              </w:rPr>
              <w:t>STEM4, STEM5, CD3, CPSAA2, CC1, CCEC2, CCEC4.</w:t>
            </w:r>
          </w:p>
        </w:tc>
        <w:tc>
          <w:tcPr>
            <w:tcW w:w="3532"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3.1. </w:t>
            </w:r>
            <w:r>
              <w:rPr>
                <w:rFonts w:eastAsia="Times New Roman" w:cs="Calibri" w:cstheme="minorHAnsi"/>
                <w:color w:val="000000"/>
                <w:sz w:val="22"/>
                <w:szCs w:val="22"/>
              </w:rPr>
              <w:t>Emplear fuentes variadas, fiables y seguras para seleccionar, interpretar, organizar y comunicar información relativa a un proceso fisicoquímico concreto, relacionando entre sí lo que cada una de ellas contiene, extrayendo en cada caso lo más relevante para la resolución de un problema y desechando todo lo que sea irrelevante. </w:t>
            </w:r>
          </w:p>
        </w:tc>
      </w:tr>
      <w:tr>
        <w:trPr>
          <w:trHeight w:val="1223" w:hRule="atLeast"/>
        </w:trPr>
        <w:tc>
          <w:tcPr>
            <w:tcW w:w="3368"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2"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3.2. </w:t>
            </w:r>
            <w:r>
              <w:rPr>
                <w:rFonts w:eastAsia="Times New Roman" w:cs="Calibri" w:cstheme="minorHAnsi"/>
                <w:color w:val="000000"/>
                <w:sz w:val="22"/>
                <w:szCs w:val="22"/>
              </w:rPr>
              <w:t>Utilizar adecuadamente las reglas básicas de la física y la química, incluyendo el uso correcto de varios sistemas de unidades, las herramientas matemáticas necesarias y las reglas de nomenclatura avanzadas, consiguiendo una comunicación efectiva con toda la comunidad científica.</w:t>
            </w:r>
          </w:p>
        </w:tc>
      </w:tr>
      <w:tr>
        <w:trPr>
          <w:trHeight w:val="1315" w:hRule="atLeast"/>
        </w:trPr>
        <w:tc>
          <w:tcPr>
            <w:tcW w:w="3368"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2"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3.3. </w:t>
            </w:r>
            <w:r>
              <w:rPr>
                <w:rFonts w:eastAsia="Times New Roman" w:cs="Calibri" w:cstheme="minorHAnsi"/>
                <w:color w:val="000000"/>
                <w:sz w:val="22"/>
                <w:szCs w:val="22"/>
              </w:rPr>
              <w:t>Aplicar con rigor las normas de uso de los espacios específicos de la ciencia, como el laboratorio de Física y Química, asegurando la salud propia y colectiva, la conservación sostenible del medio ambiente y el cuidado por las instalaciones.</w:t>
            </w:r>
            <w:r>
              <w:rPr>
                <w:rFonts w:eastAsia="Times New Roman" w:cs="Calibri" w:cstheme="minorHAnsi"/>
                <w:b/>
                <w:bCs/>
                <w:color w:val="8FB91E"/>
                <w:sz w:val="22"/>
                <w:szCs w:val="22"/>
              </w:rPr>
              <w:t> </w:t>
            </w:r>
          </w:p>
        </w:tc>
      </w:tr>
      <w:tr>
        <w:trPr>
          <w:trHeight w:val="1420" w:hRule="atLeast"/>
        </w:trPr>
        <w:tc>
          <w:tcPr>
            <w:tcW w:w="3368"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pPr>
            <w:r>
              <w:rPr>
                <w:rFonts w:eastAsia="Times New Roman" w:cs="Calibri" w:cstheme="minorHAnsi"/>
                <w:b/>
                <w:bCs/>
                <w:color w:val="auto"/>
                <w:sz w:val="22"/>
                <w:szCs w:val="22"/>
              </w:rPr>
              <w:t>CE.FQ.4</w:t>
            </w:r>
            <w:r>
              <w:rPr>
                <w:rFonts w:eastAsia="Times New Roman" w:cs="Calibri" w:cstheme="minorHAnsi"/>
                <w:b/>
                <w:bCs/>
                <w:color w:val="90B91D"/>
                <w:sz w:val="22"/>
                <w:szCs w:val="22"/>
              </w:rPr>
              <w:t xml:space="preserve">. </w:t>
            </w:r>
            <w:r>
              <w:rPr>
                <w:rFonts w:eastAsia="Times New Roman" w:cs="Calibri" w:cstheme="minorHAnsi"/>
                <w:color w:val="000000"/>
                <w:sz w:val="22"/>
                <w:szCs w:val="22"/>
              </w:rPr>
              <w:t>Utilizar de forma crítica, eficiente y segura plataformas digitales y recursos variados, tanto para el trabajo individual como en equipo, para fomentar la creatividad, el desarrollo personal y el aprendizaje individual y social, mediante la consulta de información, la creación de materiales y la comunicación efectiva en los diferentes entornos de aprendizaje. </w:t>
            </w:r>
          </w:p>
        </w:tc>
        <w:tc>
          <w:tcPr>
            <w:tcW w:w="1584"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jc w:val="center"/>
              <w:rPr/>
            </w:pPr>
            <w:r>
              <w:rPr>
                <w:rFonts w:eastAsia="Times New Roman" w:cs="Calibri" w:cstheme="minorHAnsi"/>
                <w:color w:val="000000"/>
                <w:sz w:val="22"/>
                <w:szCs w:val="22"/>
              </w:rPr>
              <w:t>CCL2, CCL3, STEM4, CD1, CD2, CPSAA3, CE3, CCEC4.</w:t>
            </w:r>
          </w:p>
        </w:tc>
        <w:tc>
          <w:tcPr>
            <w:tcW w:w="3532"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4.1. </w:t>
            </w:r>
            <w:r>
              <w:rPr>
                <w:rFonts w:eastAsia="Times New Roman" w:cs="Calibri" w:cstheme="minorHAnsi"/>
                <w:color w:val="000000"/>
                <w:sz w:val="22"/>
                <w:szCs w:val="22"/>
              </w:rPr>
              <w:t>Utilizar de forma eficiente recursos variados, tradicionales y digitales, mejorando el aprendizaje autónomo y la interacción con otros miembros de la comunidad educativa, de forma rigurosa y respetuosa y analizando críticamente las aportaciones de todos. </w:t>
            </w:r>
          </w:p>
        </w:tc>
      </w:tr>
      <w:tr>
        <w:trPr>
          <w:trHeight w:val="2279" w:hRule="atLeast"/>
        </w:trPr>
        <w:tc>
          <w:tcPr>
            <w:tcW w:w="3368"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2"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4.2. </w:t>
            </w:r>
            <w:r>
              <w:rPr>
                <w:rFonts w:eastAsia="Times New Roman" w:cs="Calibri" w:cstheme="minorHAnsi"/>
                <w:color w:val="000000"/>
                <w:sz w:val="22"/>
                <w:szCs w:val="22"/>
              </w:rPr>
              <w:t>Trabajar de forma versátil con medios variados, tradicionales y digitales, en la consulta de información y la creación de contenidos, seleccionando y empleando con criterio las fuentes y herramientas más fiables, desechando las menos adecuadas y mejorando el aprendizaje propio y colectivo.</w:t>
            </w:r>
            <w:r>
              <w:rPr>
                <w:rFonts w:eastAsia="Times New Roman" w:cs="Calibri" w:cstheme="minorHAnsi"/>
                <w:b/>
                <w:bCs/>
                <w:color w:val="8FB91E"/>
                <w:sz w:val="22"/>
                <w:szCs w:val="22"/>
              </w:rPr>
              <w:t> </w:t>
            </w:r>
          </w:p>
        </w:tc>
      </w:tr>
      <w:tr>
        <w:trPr>
          <w:trHeight w:val="1136" w:hRule="atLeast"/>
        </w:trPr>
        <w:tc>
          <w:tcPr>
            <w:tcW w:w="3368"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CE.FQ.5. </w:t>
            </w:r>
            <w:r>
              <w:rPr>
                <w:rFonts w:eastAsia="Times New Roman" w:cs="Calibri" w:cstheme="minorHAnsi"/>
                <w:color w:val="000000"/>
                <w:sz w:val="22"/>
                <w:szCs w:val="22"/>
              </w:rPr>
              <w:t>Utilizar las estrategias propias del trabajo colaborativo, potenciando el crecimiento entre iguales como base emprendedora de una comunidad científica crítica, ética y eficiente, para comprender la importancia de la ciencia en la mejora de la sociedad, las aplicaciones y repercusiones de los avances científicos, la preservación de la salud y la conservación sostenible del medioambiente.</w:t>
            </w:r>
          </w:p>
        </w:tc>
        <w:tc>
          <w:tcPr>
            <w:tcW w:w="1584"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jc w:val="center"/>
              <w:rPr/>
            </w:pPr>
            <w:r>
              <w:rPr>
                <w:rFonts w:eastAsia="Times New Roman" w:cs="Calibri" w:cstheme="minorHAnsi"/>
                <w:color w:val="000000"/>
                <w:sz w:val="22"/>
                <w:szCs w:val="22"/>
              </w:rPr>
              <w:t>CCL5, CP3, STEM3, STEM5, CD3, CPSAA3, CC3, CE2.</w:t>
            </w:r>
          </w:p>
        </w:tc>
        <w:tc>
          <w:tcPr>
            <w:tcW w:w="3532"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5.1. </w:t>
            </w:r>
            <w:r>
              <w:rPr>
                <w:rFonts w:eastAsia="Times New Roman" w:cs="Calibri" w:cstheme="minorHAnsi"/>
                <w:color w:val="000000"/>
                <w:sz w:val="22"/>
                <w:szCs w:val="22"/>
              </w:rPr>
              <w:t>Establecer interacciones constructivas y coeducativas, emprendiendo actividades de cooperación e iniciando el uso de las estrategias propias del trabajo colaborativo, como forma de construir un medio de trabajo eficiente en la ciencia.</w:t>
            </w:r>
          </w:p>
        </w:tc>
      </w:tr>
      <w:tr>
        <w:trPr>
          <w:trHeight w:val="1662" w:hRule="atLeast"/>
        </w:trPr>
        <w:tc>
          <w:tcPr>
            <w:tcW w:w="3368"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vMerge w:val="continue"/>
            <w:tcBorders>
              <w:top w:val="single" w:sz="8" w:space="0" w:color="000000"/>
              <w:left w:val="single" w:sz="8" w:space="0" w:color="000000"/>
              <w:bottom w:val="single" w:sz="8"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2"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5.2. </w:t>
            </w:r>
            <w:r>
              <w:rPr>
                <w:rFonts w:eastAsia="Times New Roman" w:cs="Calibri" w:cstheme="minorHAnsi"/>
                <w:color w:val="000000"/>
                <w:sz w:val="22"/>
                <w:szCs w:val="22"/>
              </w:rPr>
              <w:t>Emprender, de forma autónoma y de acuerdo a la metodología adecuada, proyectos científicos que involucren al alumnado en la mejora de la sociedad y que creen valor para el individuo y para la comunidad.</w:t>
            </w:r>
            <w:r>
              <w:rPr>
                <w:rFonts w:eastAsia="Times New Roman" w:cs="Calibri" w:cstheme="minorHAnsi"/>
                <w:b/>
                <w:bCs/>
                <w:color w:val="8FB91E"/>
                <w:sz w:val="22"/>
                <w:szCs w:val="22"/>
              </w:rPr>
              <w:t> </w:t>
            </w:r>
          </w:p>
        </w:tc>
      </w:tr>
      <w:tr>
        <w:trPr>
          <w:trHeight w:val="443" w:hRule="atLeast"/>
        </w:trPr>
        <w:tc>
          <w:tcPr>
            <w:tcW w:w="3368" w:type="dxa"/>
            <w:vMerge w:val="restart"/>
            <w:tcBorders>
              <w:top w:val="single" w:sz="4" w:space="0" w:color="000000"/>
              <w:left w:val="single" w:sz="8" w:space="0" w:color="000000"/>
              <w:bottom w:val="single" w:sz="4" w:space="0" w:color="000000"/>
              <w:right w:val="single" w:sz="8"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CE.FQ.6. </w:t>
            </w:r>
            <w:r>
              <w:rPr>
                <w:rFonts w:eastAsia="Times New Roman" w:cs="Calibri" w:cstheme="minorHAnsi"/>
                <w:color w:val="000000"/>
                <w:sz w:val="22"/>
                <w:szCs w:val="22"/>
              </w:rPr>
              <w:t>Comprender y valorar la ciencia como una construcción colectiva en continuo cambio y evolución, en la que no solo participan las personas dedicadas a ella, sino que también requiere de una interacción con el resto de la sociedad, para obtener resultados que repercutan en el avance tecnológico, económico, ambiental y social.</w:t>
            </w:r>
          </w:p>
        </w:tc>
        <w:tc>
          <w:tcPr>
            <w:tcW w:w="1584" w:type="dxa"/>
            <w:tcBorders>
              <w:top w:val="single" w:sz="4" w:space="0" w:color="000000"/>
              <w:left w:val="single" w:sz="8" w:space="0" w:color="000000"/>
              <w:right w:val="single" w:sz="8" w:space="0" w:color="000000"/>
            </w:tcBorders>
            <w:shd w:fill="auto" w:val="clear"/>
          </w:tcPr>
          <w:p>
            <w:pPr>
              <w:pStyle w:val="Normal"/>
              <w:spacing w:lineRule="auto" w:line="240" w:before="0" w:after="120"/>
              <w:jc w:val="center"/>
              <w:rPr/>
            </w:pPr>
            <w:r>
              <w:rPr>
                <w:rFonts w:eastAsia="Times New Roman" w:cs="Calibri" w:cstheme="minorHAnsi"/>
                <w:color w:val="000000"/>
                <w:sz w:val="22"/>
                <w:szCs w:val="22"/>
              </w:rPr>
              <w:t>STEM2, STEM5, CD4, CPSAA1, CPSAA4, CC4, CCEC1.</w:t>
            </w:r>
          </w:p>
        </w:tc>
        <w:tc>
          <w:tcPr>
            <w:tcW w:w="3532"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6.1. </w:t>
            </w:r>
            <w:r>
              <w:rPr>
                <w:rFonts w:eastAsia="Times New Roman" w:cs="Calibri" w:cstheme="minorHAnsi"/>
                <w:color w:val="000000"/>
                <w:sz w:val="22"/>
                <w:szCs w:val="22"/>
              </w:rPr>
              <w:t>Reconocer y valorar, a través del análisis histórico de los avances científicos logrados por mujeres y hombres, así como de situaciones y contextos actuales (líneas de investigación, instituciones científicas, etc.), que la ciencia es un proceso en permanente construcción y las repercusiones e implicaciones sociales, económicas y medioambientales de la ciencia actual en la sociedad.</w:t>
            </w:r>
            <w:r>
              <w:rPr>
                <w:rFonts w:eastAsia="MS Gothic" w:cs="Tahoma"/>
                <w:color w:val="000000"/>
                <w:sz w:val="22"/>
                <w:szCs w:val="22"/>
              </w:rPr>
              <w:t> </w:t>
            </w:r>
          </w:p>
        </w:tc>
      </w:tr>
      <w:tr>
        <w:trPr>
          <w:trHeight w:val="414" w:hRule="atLeast"/>
        </w:trPr>
        <w:tc>
          <w:tcPr>
            <w:tcW w:w="3368" w:type="dxa"/>
            <w:vMerge w:val="continue"/>
            <w:tcBorders>
              <w:top w:val="single" w:sz="4" w:space="0" w:color="000000"/>
              <w:left w:val="single" w:sz="8" w:space="0" w:color="000000"/>
              <w:bottom w:val="single" w:sz="4" w:space="0" w:color="000000"/>
              <w:right w:val="single" w:sz="8"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1584" w:type="dxa"/>
            <w:tcBorders>
              <w:left w:val="single" w:sz="8" w:space="0" w:color="000000"/>
              <w:bottom w:val="single" w:sz="8" w:space="0" w:color="000000"/>
              <w:right w:val="single" w:sz="8" w:space="0" w:color="000000"/>
            </w:tcBorders>
            <w:shd w:fill="auto" w:val="clear"/>
          </w:tcPr>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tc>
        <w:tc>
          <w:tcPr>
            <w:tcW w:w="3532" w:type="dxa"/>
            <w:tcBorders>
              <w:top w:val="single" w:sz="4" w:space="0" w:color="000000"/>
              <w:left w:val="single" w:sz="8"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s="Calibri" w:cstheme="minorHAnsi"/>
                <w:b/>
                <w:bCs/>
                <w:color w:val="auto"/>
                <w:sz w:val="22"/>
                <w:szCs w:val="22"/>
              </w:rPr>
              <w:t xml:space="preserve">6.2. </w:t>
            </w:r>
            <w:r>
              <w:rPr>
                <w:rFonts w:eastAsia="Times New Roman" w:cs="Calibri" w:cstheme="minorHAnsi"/>
                <w:color w:val="000000"/>
                <w:sz w:val="22"/>
                <w:szCs w:val="22"/>
              </w:rPr>
              <w:t>Detectar las necesidades tecnológicas, ambientales, económicas y sociales más importantes que demanda la sociedad, entendiendo la capacidad de la ciencia para darles solución sostenible a través de la implicación de toda la ciudadanía.</w:t>
            </w:r>
            <w:r>
              <w:rPr>
                <w:rFonts w:eastAsia="Times New Roman" w:cs="Calibri" w:cstheme="minorHAnsi"/>
                <w:b/>
                <w:bCs/>
                <w:color w:val="8FB91E"/>
                <w:sz w:val="22"/>
                <w:szCs w:val="22"/>
              </w:rPr>
              <w:t> </w:t>
            </w:r>
          </w:p>
        </w:tc>
      </w:tr>
    </w:tbl>
    <w:p>
      <w:pPr>
        <w:pStyle w:val="Normal"/>
        <w:widowControl w:val="false"/>
        <w:spacing w:lineRule="auto" w:line="288" w:before="60" w:after="60"/>
        <w:ind w:left="560" w:hanging="280"/>
        <w:jc w:val="both"/>
        <w:rPr>
          <w:rFonts w:ascii="Calibri" w:hAnsi="Calibri"/>
          <w:b/>
          <w:b/>
          <w:sz w:val="22"/>
          <w:szCs w:val="22"/>
        </w:rPr>
      </w:pPr>
      <w:r>
        <w:rPr>
          <w:b/>
          <w:sz w:val="22"/>
          <w:szCs w:val="22"/>
        </w:rPr>
      </w:r>
    </w:p>
    <w:tbl>
      <w:tblPr>
        <w:tblW w:w="8484" w:type="dxa"/>
        <w:jc w:val="left"/>
        <w:tblInd w:w="0" w:type="dxa"/>
        <w:tblCellMar>
          <w:top w:w="0" w:type="dxa"/>
          <w:left w:w="115" w:type="dxa"/>
          <w:bottom w:w="0" w:type="dxa"/>
          <w:right w:w="115" w:type="dxa"/>
        </w:tblCellMar>
        <w:tblLook w:firstRow="1" w:noVBand="1" w:lastRow="0" w:firstColumn="1" w:lastColumn="0" w:noHBand="0" w:val="04a0"/>
      </w:tblPr>
      <w:tblGrid>
        <w:gridCol w:w="1912"/>
        <w:gridCol w:w="6571"/>
      </w:tblGrid>
      <w:tr>
        <w:trPr/>
        <w:tc>
          <w:tcPr>
            <w:tcW w:w="8483" w:type="dxa"/>
            <w:gridSpan w:val="2"/>
            <w:tcBorders>
              <w:top w:val="single" w:sz="8" w:space="0" w:color="000000"/>
              <w:left w:val="single" w:sz="8" w:space="0" w:color="000000"/>
              <w:bottom w:val="single" w:sz="8" w:space="0" w:color="000000"/>
              <w:right w:val="single" w:sz="8" w:space="0" w:color="000000"/>
            </w:tcBorders>
            <w:shd w:color="auto" w:fill="4F81BD" w:themeFill="accent1" w:val="clear"/>
          </w:tcPr>
          <w:p>
            <w:pPr>
              <w:pStyle w:val="Normal"/>
              <w:spacing w:lineRule="auto" w:line="240" w:before="0" w:after="120"/>
              <w:jc w:val="center"/>
              <w:rPr/>
            </w:pPr>
            <w:r>
              <w:rPr>
                <w:rFonts w:eastAsia="Times New Roman" w:cs="Calibri" w:cstheme="minorHAnsi"/>
                <w:b/>
                <w:bCs/>
                <w:color w:val="FFFFFF" w:themeColor="background1"/>
                <w:sz w:val="22"/>
                <w:szCs w:val="22"/>
              </w:rPr>
              <w:t>SABERES BÁSICOS</w:t>
            </w:r>
          </w:p>
        </w:tc>
      </w:tr>
      <w:tr>
        <w:trPr/>
        <w:tc>
          <w:tcPr>
            <w:tcW w:w="8483" w:type="dxa"/>
            <w:gridSpan w:val="2"/>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jc w:val="center"/>
              <w:rPr/>
            </w:pPr>
            <w:r>
              <w:rPr>
                <w:rFonts w:eastAsia="Times New Roman" w:cs="Calibri" w:cstheme="minorHAnsi"/>
                <w:b/>
                <w:bCs/>
                <w:smallCaps/>
                <w:color w:val="auto"/>
                <w:sz w:val="22"/>
                <w:szCs w:val="22"/>
              </w:rPr>
              <w:t xml:space="preserve">NOTA SOBRE LA NOMENCLATURA DE LOS SABERES BÁSICOS. </w:t>
            </w:r>
            <w:r>
              <w:rPr>
                <w:rFonts w:eastAsia="Times New Roman" w:cs="Calibri" w:cstheme="minorHAnsi"/>
                <w:color w:val="auto"/>
                <w:sz w:val="22"/>
                <w:szCs w:val="22"/>
              </w:rPr>
              <w:t xml:space="preserve">En esta programación se han añadido números y letras (1.a, 2.c…) en los subepígrafes para identificar claramente los saberes básicos que se abordan en cada sección; aunque en la </w:t>
            </w:r>
            <w:r>
              <w:rPr>
                <w:rFonts w:eastAsia="Times New Roman" w:cs="Calibri" w:cstheme="minorHAnsi"/>
                <w:i/>
                <w:iCs/>
                <w:color w:val="auto"/>
                <w:sz w:val="22"/>
                <w:szCs w:val="22"/>
              </w:rPr>
              <w:t>Orden ECD/1172/2022, de 2 de agosto, por la que se aprueban el currículo y las características de la evaluación de la Educación Secundaria Obligatoria en la Comunidad Autónoma de Aragón</w:t>
            </w:r>
            <w:r>
              <w:rPr>
                <w:rFonts w:eastAsia="Times New Roman" w:cs="Calibri" w:cstheme="minorHAnsi"/>
                <w:color w:val="auto"/>
                <w:sz w:val="22"/>
                <w:szCs w:val="22"/>
              </w:rPr>
              <w:t>, estos subepígrafes no aparecen numerados.</w:t>
            </w:r>
          </w:p>
        </w:tc>
      </w:tr>
      <w:tr>
        <w:trPr/>
        <w:tc>
          <w:tcPr>
            <w:tcW w:w="1912"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
              <w:spacing w:lineRule="auto" w:line="240" w:before="0" w:after="120"/>
              <w:jc w:val="center"/>
              <w:rPr/>
            </w:pPr>
            <w:r>
              <w:rPr>
                <w:rFonts w:eastAsia="Times New Roman" w:cs="Calibri" w:cstheme="minorHAnsi"/>
                <w:b/>
                <w:bCs/>
                <w:smallCaps/>
                <w:color w:val="auto"/>
                <w:sz w:val="22"/>
                <w:szCs w:val="22"/>
              </w:rPr>
              <w:t>A. LAS DESTREZAS CIENTIFICAS BASICAS </w:t>
            </w:r>
          </w:p>
        </w:tc>
        <w:tc>
          <w:tcPr>
            <w:tcW w:w="6571" w:type="dxa"/>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pPr>
            <w:r>
              <w:rPr>
                <w:rFonts w:eastAsia="Times New Roman" w:cs="Calibri" w:cstheme="minorHAnsi"/>
                <w:color w:val="000000"/>
                <w:sz w:val="22"/>
                <w:szCs w:val="22"/>
              </w:rPr>
              <w:t>a. Trabajo experimental y proyectos de investigación: estrategias en la resolución de problemas y el tratamiento del error mediante la indagación, la deducción, la búsqueda de evidencias y el razonamiento lógico-matemático, haciendo inferencias válidas de las observaciones y obteniendo conclusiones que vayan más allá de las condiciones experimentales para aplicarlas a nuevos escenarios. </w:t>
            </w:r>
          </w:p>
          <w:p>
            <w:pPr>
              <w:pStyle w:val="Normal"/>
              <w:spacing w:lineRule="auto" w:line="240" w:before="0" w:after="120"/>
              <w:rPr/>
            </w:pPr>
            <w:r>
              <w:rPr>
                <w:rFonts w:eastAsia="Times New Roman" w:cs="Calibri" w:cstheme="minorHAnsi"/>
                <w:color w:val="000000"/>
                <w:sz w:val="22"/>
                <w:szCs w:val="22"/>
              </w:rPr>
              <w:t>b. Diversos entornos y recursos de aprendizaje científico como el laboratorio o los entornos virtuales: materiales, sustancias y herramientas tecnológicas.</w:t>
            </w:r>
          </w:p>
          <w:p>
            <w:pPr>
              <w:pStyle w:val="Normal"/>
              <w:spacing w:lineRule="auto" w:line="240" w:before="0" w:after="120"/>
              <w:rPr/>
            </w:pPr>
            <w:r>
              <w:rPr>
                <w:rFonts w:eastAsia="Times New Roman" w:cs="Calibri" w:cstheme="minorHAnsi"/>
                <w:color w:val="000000"/>
                <w:sz w:val="22"/>
                <w:szCs w:val="22"/>
              </w:rPr>
              <w:t>c. Normas de uso de cada espacio, asegurando y protegiendo así la salud propia y comunitaria, la seguridad en redes y el respeto hacia el medio ambiente.</w:t>
            </w:r>
          </w:p>
          <w:p>
            <w:pPr>
              <w:pStyle w:val="Normal"/>
              <w:spacing w:lineRule="auto" w:line="240" w:before="0" w:after="120"/>
              <w:rPr/>
            </w:pPr>
            <w:r>
              <w:rPr>
                <w:rFonts w:eastAsia="Times New Roman" w:cs="Calibri" w:cstheme="minorHAnsi"/>
                <w:color w:val="000000"/>
                <w:sz w:val="22"/>
                <w:szCs w:val="22"/>
              </w:rPr>
              <w:t>d. El lenguaje científico: manejo adecuado de distintos sistemas de unidades y sus símbolos. Herramientas matemáticas adecuadas en diferentes escenarios científicos y de aprendizaje.</w:t>
            </w:r>
          </w:p>
          <w:p>
            <w:pPr>
              <w:pStyle w:val="Normal"/>
              <w:spacing w:lineRule="auto" w:line="240" w:before="0" w:after="120"/>
              <w:rPr/>
            </w:pPr>
            <w:r>
              <w:rPr>
                <w:rFonts w:eastAsia="Times New Roman" w:cs="Calibri" w:cstheme="minorHAnsi"/>
                <w:color w:val="000000"/>
                <w:sz w:val="22"/>
                <w:szCs w:val="22"/>
              </w:rPr>
              <w:t>e. Estrategias de interpretación y producción de información científica en diferentes formatos y a partir de diferentes medios: desarrollo del criterio propio basado en lo que el pensamiento científico aporta a la mejora de la sociedad para hacerla más justa, equitativa e igualitaria.</w:t>
            </w:r>
          </w:p>
          <w:p>
            <w:pPr>
              <w:pStyle w:val="Normal"/>
              <w:spacing w:lineRule="auto" w:line="240" w:before="0" w:after="120"/>
              <w:rPr/>
            </w:pPr>
            <w:r>
              <w:rPr>
                <w:rFonts w:eastAsia="Times New Roman" w:cs="Calibri" w:cstheme="minorHAnsi"/>
                <w:color w:val="000000"/>
                <w:sz w:val="22"/>
                <w:szCs w:val="22"/>
              </w:rPr>
              <w:t>f. Valoración de la cultura científica y del papel de científicos y científicas en los principales hitos históricos y actuales de la física y la química para el avance y la mejora de la sociedad. </w:t>
            </w:r>
          </w:p>
        </w:tc>
      </w:tr>
      <w:tr>
        <w:trPr/>
        <w:tc>
          <w:tcPr>
            <w:tcW w:w="1912"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
              <w:spacing w:lineRule="auto" w:line="240" w:before="0" w:after="120"/>
              <w:jc w:val="center"/>
              <w:rPr/>
            </w:pPr>
            <w:r>
              <w:rPr>
                <w:rFonts w:eastAsia="Times New Roman" w:cs="Calibri" w:cstheme="minorHAnsi"/>
                <w:b/>
                <w:bCs/>
                <w:smallCaps/>
                <w:color w:val="auto"/>
                <w:sz w:val="22"/>
                <w:szCs w:val="22"/>
              </w:rPr>
              <w:t>B. LA MATERIA </w:t>
            </w:r>
          </w:p>
        </w:tc>
        <w:tc>
          <w:tcPr>
            <w:tcW w:w="6571" w:type="dxa"/>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pPr>
            <w:r>
              <w:rPr>
                <w:rFonts w:eastAsia="Times New Roman" w:cs="Calibri" w:cstheme="minorHAnsi"/>
                <w:color w:val="000000"/>
                <w:sz w:val="22"/>
                <w:szCs w:val="22"/>
              </w:rPr>
              <w:t>a. Sistemas materiales: resolución de problemas y situaciones de aprendizaje diversas sobre las disoluciones y los gases, entre otros sistemas materiales significativos. </w:t>
            </w:r>
          </w:p>
          <w:p>
            <w:pPr>
              <w:pStyle w:val="Normal"/>
              <w:spacing w:lineRule="auto" w:line="240" w:before="0" w:after="120"/>
              <w:rPr/>
            </w:pPr>
            <w:r>
              <w:rPr>
                <w:rFonts w:eastAsia="Times New Roman" w:cs="Calibri" w:cstheme="minorHAnsi"/>
                <w:color w:val="000000"/>
                <w:sz w:val="22"/>
                <w:szCs w:val="22"/>
              </w:rPr>
              <w:t>b. Modelos atómicos: desarrollo histórico de los principales modelos atómicos clásicos y cuánticos y descripción de las partículas subatómicas, estableciendo su relación con los avances de la física y de la química. </w:t>
            </w:r>
          </w:p>
          <w:p>
            <w:pPr>
              <w:pStyle w:val="Normal"/>
              <w:spacing w:lineRule="auto" w:line="240" w:before="0" w:after="120"/>
              <w:rPr/>
            </w:pPr>
            <w:r>
              <w:rPr>
                <w:rFonts w:eastAsia="Times New Roman" w:cs="Calibri" w:cstheme="minorHAnsi"/>
                <w:color w:val="000000"/>
                <w:sz w:val="22"/>
                <w:szCs w:val="22"/>
              </w:rPr>
              <w:t>c. Estructura electrónica de los átomos: configuración electrónica de un átomo y su relación con la posición del mismo en la tabla periódica y con sus propiedades fisicoquímicas. </w:t>
            </w:r>
          </w:p>
          <w:p>
            <w:pPr>
              <w:pStyle w:val="Normal"/>
              <w:spacing w:lineRule="auto" w:line="240" w:before="0" w:after="120"/>
              <w:rPr/>
            </w:pPr>
            <w:r>
              <w:rPr>
                <w:rFonts w:eastAsia="Times New Roman" w:cs="Calibri" w:cstheme="minorHAnsi"/>
                <w:color w:val="000000"/>
                <w:sz w:val="22"/>
                <w:szCs w:val="22"/>
              </w:rPr>
              <w:t>d. Compuestos químicos: su formación, propiedades físicas y químicas y valoración de su utilidad e importancia en otros campos como la ingeniería o el deporte. </w:t>
            </w:r>
          </w:p>
          <w:p>
            <w:pPr>
              <w:pStyle w:val="Normal"/>
              <w:spacing w:lineRule="auto" w:line="240" w:before="0" w:after="120"/>
              <w:rPr/>
            </w:pPr>
            <w:r>
              <w:rPr>
                <w:rFonts w:eastAsia="Times New Roman" w:cs="Calibri" w:cstheme="minorHAnsi"/>
                <w:color w:val="000000"/>
                <w:sz w:val="22"/>
                <w:szCs w:val="22"/>
              </w:rPr>
              <w:t>e. Cuantificación de la cantidad de materia: cálculo de la cantidad de sustancia de sistemas materiales de diferente naturaleza, manejando con soltura las diferentes formas de medida y expresión de la misma en el entorno científico. </w:t>
            </w:r>
          </w:p>
          <w:p>
            <w:pPr>
              <w:pStyle w:val="Normal"/>
              <w:spacing w:lineRule="auto" w:line="240" w:before="0" w:after="120"/>
              <w:rPr/>
            </w:pPr>
            <w:r>
              <w:rPr>
                <w:rFonts w:eastAsia="Times New Roman" w:cs="Calibri" w:cstheme="minorHAnsi"/>
                <w:color w:val="000000"/>
                <w:sz w:val="22"/>
                <w:szCs w:val="22"/>
              </w:rPr>
              <w:t>f. Nomenclatura inorgánica: denominación de sustancias simples, iones y compuestos químicos binarios y ternarios mediante las normas de la IUPAC.</w:t>
            </w:r>
          </w:p>
          <w:p>
            <w:pPr>
              <w:pStyle w:val="Normal"/>
              <w:spacing w:lineRule="auto" w:line="240" w:before="0" w:after="120"/>
              <w:rPr/>
            </w:pPr>
            <w:r>
              <w:rPr>
                <w:rFonts w:eastAsia="Times New Roman" w:cs="Calibri" w:cstheme="minorHAnsi"/>
                <w:color w:val="000000"/>
                <w:sz w:val="22"/>
                <w:szCs w:val="22"/>
              </w:rPr>
              <w:t>g. Introducción a la nomenclatura orgánica: denominación de compuestos orgánicos monofuncionales a partir de las normas de la IUPAC como base para entender la gran variedad de compuestos del entorno basados en el carbono.</w:t>
            </w:r>
          </w:p>
        </w:tc>
      </w:tr>
      <w:tr>
        <w:trPr/>
        <w:tc>
          <w:tcPr>
            <w:tcW w:w="1912"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
              <w:spacing w:lineRule="auto" w:line="240" w:before="0" w:after="120"/>
              <w:jc w:val="center"/>
              <w:rPr/>
            </w:pPr>
            <w:r>
              <w:rPr>
                <w:rFonts w:eastAsia="Times New Roman" w:cs="Calibri" w:cstheme="minorHAnsi"/>
                <w:b/>
                <w:bCs/>
                <w:smallCaps/>
                <w:color w:val="auto"/>
                <w:sz w:val="22"/>
                <w:szCs w:val="22"/>
              </w:rPr>
              <w:t>C. LA INTERACCIÓN </w:t>
            </w:r>
          </w:p>
        </w:tc>
        <w:tc>
          <w:tcPr>
            <w:tcW w:w="6571" w:type="dxa"/>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pPr>
            <w:r>
              <w:rPr>
                <w:rFonts w:eastAsia="Times New Roman" w:cs="Calibri" w:cstheme="minorHAnsi"/>
                <w:color w:val="000000"/>
                <w:sz w:val="22"/>
                <w:szCs w:val="22"/>
              </w:rPr>
              <w:t>a. Predicción y comprobación, utilizando la experimentación y el razonamiento matemático, de las principales magnitudes, ecuaciones y gráficas que describen el movimiento de un cuerpo, relacionándolo con situaciones cotidianas y con la mejora de la calidad de vida. </w:t>
            </w:r>
          </w:p>
          <w:p>
            <w:pPr>
              <w:pStyle w:val="Normal"/>
              <w:spacing w:lineRule="auto" w:line="240" w:before="0" w:after="120"/>
              <w:rPr/>
            </w:pPr>
            <w:r>
              <w:rPr>
                <w:rFonts w:eastAsia="Times New Roman" w:cs="Calibri" w:cstheme="minorHAnsi"/>
                <w:color w:val="000000"/>
                <w:sz w:val="22"/>
                <w:szCs w:val="22"/>
              </w:rPr>
              <w:t>b. La fuerza como agente de cambios en los cuerpos: principio fundamental de la Física que se aplica a otros campos como el diseño, el deporte o la ingeniería. </w:t>
            </w:r>
          </w:p>
          <w:p>
            <w:pPr>
              <w:pStyle w:val="Normal"/>
              <w:spacing w:lineRule="auto" w:line="240" w:before="0" w:after="120"/>
              <w:rPr/>
            </w:pPr>
            <w:r>
              <w:rPr>
                <w:rFonts w:eastAsia="Times New Roman" w:cs="Calibri" w:cstheme="minorHAnsi"/>
                <w:color w:val="000000"/>
                <w:sz w:val="22"/>
                <w:szCs w:val="22"/>
              </w:rPr>
              <w:t>c. Carácter vectorial de las fuerzas: uso del álgebra vectorial básica para la realización gráfica y numérica de operaciones con fuerzas y su aplicación a la resolución de problemas relacionados con sistemas sometidos a conjuntos de fuerzas, valorando su importancia en situaciones cotidianas. </w:t>
            </w:r>
          </w:p>
          <w:p>
            <w:pPr>
              <w:pStyle w:val="Normal"/>
              <w:spacing w:lineRule="auto" w:line="240" w:before="0" w:after="120"/>
              <w:rPr/>
            </w:pPr>
            <w:r>
              <w:rPr>
                <w:rFonts w:eastAsia="Times New Roman" w:cs="Calibri" w:cstheme="minorHAnsi"/>
                <w:color w:val="000000"/>
                <w:sz w:val="22"/>
                <w:szCs w:val="22"/>
              </w:rPr>
              <w:t>d. Principales fuerzas del entorno cotidiano: reconocimiento del peso, la normal, el rozamiento, la tensión o el empuje, y su uso en la explicación de fenómenos físicos en distintos escenarios. </w:t>
            </w:r>
          </w:p>
          <w:p>
            <w:pPr>
              <w:pStyle w:val="Normal"/>
              <w:spacing w:lineRule="auto" w:line="240" w:before="0" w:after="120"/>
              <w:rPr/>
            </w:pPr>
            <w:r>
              <w:rPr>
                <w:rFonts w:eastAsia="Times New Roman" w:cs="Calibri" w:cstheme="minorHAnsi"/>
                <w:color w:val="000000"/>
                <w:sz w:val="22"/>
                <w:szCs w:val="22"/>
              </w:rPr>
              <w:t>e. Ley de la gravitación universal: atracción entre los cuerpos que componen el universo. Concepto de peso. </w:t>
            </w:r>
          </w:p>
          <w:p>
            <w:pPr>
              <w:pStyle w:val="Normal"/>
              <w:spacing w:lineRule="auto" w:line="240" w:before="0" w:after="120"/>
              <w:rPr/>
            </w:pPr>
            <w:r>
              <w:rPr>
                <w:rFonts w:eastAsia="Times New Roman" w:cs="Calibri" w:cstheme="minorHAnsi"/>
                <w:color w:val="000000"/>
                <w:sz w:val="22"/>
                <w:szCs w:val="22"/>
              </w:rPr>
              <w:t>f. Fuerzas y presión en los fluidos: efectos de las fuerzas y la presión sobre los líquidos y los gases, estudiando los principios fundamentales que las describen.</w:t>
            </w:r>
          </w:p>
        </w:tc>
      </w:tr>
      <w:tr>
        <w:trPr/>
        <w:tc>
          <w:tcPr>
            <w:tcW w:w="1912"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
              <w:spacing w:lineRule="auto" w:line="240" w:before="0" w:after="120"/>
              <w:jc w:val="center"/>
              <w:rPr/>
            </w:pPr>
            <w:r>
              <w:rPr>
                <w:rFonts w:eastAsia="Times New Roman" w:cs="Calibri" w:cstheme="minorHAnsi"/>
                <w:b/>
                <w:bCs/>
                <w:smallCaps/>
                <w:color w:val="auto"/>
                <w:sz w:val="22"/>
                <w:szCs w:val="22"/>
              </w:rPr>
              <w:t>D. LA ENERGÍA</w:t>
            </w:r>
          </w:p>
        </w:tc>
        <w:tc>
          <w:tcPr>
            <w:tcW w:w="6571" w:type="dxa"/>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pPr>
            <w:r>
              <w:rPr>
                <w:rFonts w:eastAsia="Times New Roman" w:cs="Calibri" w:cstheme="minorHAnsi"/>
                <w:color w:val="000000"/>
                <w:sz w:val="22"/>
                <w:szCs w:val="22"/>
              </w:rPr>
              <w:t>a. La energía: formulación y comprobación de hipótesis sobre las distintas formas y aplicaciones de la energía a partir de sus propiedades y del principio de conservación, como base para la experimentación y la resolución de problemas relacionados con la energía mecánica en situaciones cotidianas. </w:t>
            </w:r>
          </w:p>
          <w:p>
            <w:pPr>
              <w:pStyle w:val="Normal"/>
              <w:spacing w:lineRule="auto" w:line="240" w:before="0" w:after="120"/>
              <w:rPr/>
            </w:pPr>
            <w:r>
              <w:rPr>
                <w:rFonts w:eastAsia="Times New Roman" w:cs="Calibri" w:cstheme="minorHAnsi"/>
                <w:color w:val="000000"/>
                <w:sz w:val="22"/>
                <w:szCs w:val="22"/>
              </w:rPr>
              <w:t>b. Transferencias de energía: el trabajo y el calor como formas de transferencia de energía entre sistemas relacionados con las fuerzas o la diferencia de temperatura. La luz y el sonido como ondas que transfieren energía. </w:t>
            </w:r>
          </w:p>
          <w:p>
            <w:pPr>
              <w:pStyle w:val="Normal"/>
              <w:spacing w:lineRule="auto" w:line="240" w:before="0" w:after="120"/>
              <w:rPr/>
            </w:pPr>
            <w:r>
              <w:rPr>
                <w:rFonts w:eastAsia="Times New Roman" w:cs="Calibri" w:cstheme="minorHAnsi"/>
                <w:color w:val="000000"/>
                <w:sz w:val="22"/>
                <w:szCs w:val="22"/>
              </w:rPr>
              <w:t>c. La energía en nuestro mundo: estimación de la energía consumida en la vida cotidiana mediante la búsqueda de información contrastada, la experimentación y el razonamiento científico, comprendiendo la importancia de la energía en la sociedad, su producción y su uso responsable. </w:t>
            </w:r>
          </w:p>
        </w:tc>
      </w:tr>
      <w:tr>
        <w:trPr/>
        <w:tc>
          <w:tcPr>
            <w:tcW w:w="1912" w:type="dxa"/>
            <w:tcBorders>
              <w:top w:val="single" w:sz="8" w:space="0" w:color="000000"/>
              <w:left w:val="single" w:sz="8" w:space="0" w:color="000000"/>
              <w:bottom w:val="single" w:sz="8" w:space="0" w:color="000000"/>
              <w:right w:val="single" w:sz="8" w:space="0" w:color="000000"/>
            </w:tcBorders>
            <w:shd w:fill="auto" w:val="clear"/>
            <w:vAlign w:val="center"/>
          </w:tcPr>
          <w:p>
            <w:pPr>
              <w:pStyle w:val="Normal"/>
              <w:spacing w:lineRule="auto" w:line="240" w:before="0" w:after="120"/>
              <w:jc w:val="center"/>
              <w:rPr/>
            </w:pPr>
            <w:r>
              <w:rPr>
                <w:rFonts w:eastAsia="Times New Roman" w:cs="Calibri" w:cstheme="minorHAnsi"/>
                <w:b/>
                <w:bCs/>
                <w:smallCaps/>
                <w:color w:val="auto"/>
                <w:sz w:val="22"/>
                <w:szCs w:val="22"/>
              </w:rPr>
              <w:t>E. EL CAMBIO</w:t>
            </w:r>
          </w:p>
        </w:tc>
        <w:tc>
          <w:tcPr>
            <w:tcW w:w="6571" w:type="dxa"/>
            <w:tcBorders>
              <w:top w:val="single" w:sz="8" w:space="0" w:color="000000"/>
              <w:left w:val="single" w:sz="8" w:space="0" w:color="000000"/>
              <w:bottom w:val="single" w:sz="8" w:space="0" w:color="000000"/>
              <w:right w:val="single" w:sz="8" w:space="0" w:color="000000"/>
            </w:tcBorders>
            <w:shd w:fill="auto" w:val="clear"/>
          </w:tcPr>
          <w:p>
            <w:pPr>
              <w:pStyle w:val="Normal"/>
              <w:spacing w:lineRule="auto" w:line="240" w:before="0" w:after="120"/>
              <w:rPr/>
            </w:pPr>
            <w:r>
              <w:rPr>
                <w:rFonts w:eastAsia="Times New Roman" w:cs="Calibri" w:cstheme="minorHAnsi"/>
                <w:color w:val="000000"/>
                <w:sz w:val="22"/>
                <w:szCs w:val="22"/>
              </w:rPr>
              <w:t>a. Reacciones químicas: ajustes de reacciones químicas y realización de predicciones cualitativas y cuantitativas basadas en la estequiometría, relacionándolas con procesos fisicoquímicos de la industria, el medio ambiente y la sociedad. </w:t>
            </w:r>
          </w:p>
          <w:p>
            <w:pPr>
              <w:pStyle w:val="Normal"/>
              <w:spacing w:lineRule="auto" w:line="240" w:before="0" w:after="120"/>
              <w:rPr/>
            </w:pPr>
            <w:r>
              <w:rPr>
                <w:rFonts w:eastAsia="Times New Roman" w:cs="Calibri" w:cstheme="minorHAnsi"/>
                <w:color w:val="000000"/>
                <w:sz w:val="22"/>
                <w:szCs w:val="22"/>
              </w:rPr>
              <w:t>b. Descripción cualitativa de reacciones químicas de interés: reacciones de combustión, neutralización y procesos electroquímicos sencillos, valorando las implicaciones que tienen en la tecnología, la sociedad o el medio ambiente.</w:t>
            </w:r>
          </w:p>
          <w:p>
            <w:pPr>
              <w:pStyle w:val="Normal"/>
              <w:spacing w:lineRule="auto" w:line="240" w:before="0" w:after="120"/>
              <w:rPr/>
            </w:pPr>
            <w:r>
              <w:rPr>
                <w:rFonts w:eastAsia="Times New Roman" w:cs="Calibri" w:cstheme="minorHAnsi"/>
                <w:color w:val="000000"/>
                <w:sz w:val="22"/>
                <w:szCs w:val="22"/>
              </w:rPr>
              <w:t>c. Factores que influyen en la velocidad de las reacciones químicas: comprensión de cómo ocurre la reordenación de los átomos, aplicando modelos como la teoría de colisiones y realización de predicciones en los procesos cotidianos más importantes. </w:t>
            </w:r>
          </w:p>
        </w:tc>
      </w:tr>
    </w:tbl>
    <w:p>
      <w:pPr>
        <w:pStyle w:val="Normal"/>
        <w:spacing w:lineRule="auto" w:line="240" w:before="0" w:after="0"/>
        <w:rPr>
          <w:rFonts w:ascii="Calibri" w:hAnsi="Calibri" w:eastAsia="Cambria" w:cs="Cambria"/>
          <w:b/>
          <w:b/>
          <w:sz w:val="22"/>
          <w:szCs w:val="22"/>
          <w:u w:val="single"/>
        </w:rPr>
      </w:pPr>
      <w:r>
        <w:rPr>
          <w:rFonts w:eastAsia="Cambria" w:cs="Cambria"/>
          <w:b/>
          <w:sz w:val="22"/>
          <w:szCs w:val="22"/>
          <w:u w:val="single"/>
        </w:rPr>
      </w:r>
    </w:p>
    <w:p>
      <w:pPr>
        <w:pStyle w:val="Normal"/>
        <w:jc w:val="both"/>
        <w:rPr/>
      </w:pPr>
      <w:r>
        <w:rPr>
          <w:rFonts w:eastAsia="Cambria"/>
          <w:b/>
          <w:sz w:val="22"/>
          <w:szCs w:val="22"/>
          <w:u w:val="single"/>
        </w:rPr>
        <w:t>3. PROCEDIMIENTOS E INSTRUMENTOS DE EVALUACIÓN</w:t>
      </w:r>
    </w:p>
    <w:p>
      <w:pPr>
        <w:pStyle w:val="Cuerpodetexto"/>
        <w:jc w:val="both"/>
        <w:rPr/>
      </w:pPr>
      <w:bookmarkStart w:id="9" w:name="docs-internal-guid-b994e1cd-7fff-3985-8a"/>
      <w:bookmarkEnd w:id="9"/>
      <w:r>
        <w:rPr>
          <w:rFonts w:eastAsia="Cambria" w:cs="Cambria"/>
          <w:b w:val="false"/>
          <w:bCs/>
          <w:i w:val="false"/>
          <w:caps w:val="false"/>
          <w:smallCaps w:val="false"/>
          <w:strike w:val="false"/>
          <w:dstrike w:val="false"/>
          <w:color w:val="000000"/>
          <w:sz w:val="22"/>
          <w:szCs w:val="22"/>
          <w:u w:val="none"/>
          <w:effect w:val="none"/>
        </w:rPr>
        <w:t>Tal y como establece la Orden ECD/1172/2022 en su Artículo 13: </w:t>
      </w:r>
    </w:p>
    <w:p>
      <w:pPr>
        <w:pStyle w:val="Cuerpodetexto"/>
        <w:bidi w:val="0"/>
        <w:spacing w:lineRule="auto" w:line="288" w:before="0" w:after="0"/>
        <w:ind w:left="57" w:right="0" w:hanging="0"/>
        <w:jc w:val="both"/>
        <w:rPr/>
      </w:pPr>
      <w:r>
        <w:rPr>
          <w:rFonts w:ascii="Calibri;sans-serif" w:hAnsi="Calibri;sans-serif"/>
          <w:b w:val="false"/>
          <w:i/>
          <w:caps w:val="false"/>
          <w:smallCaps w:val="false"/>
          <w:strike w:val="false"/>
          <w:dstrike w:val="false"/>
          <w:color w:val="000000"/>
          <w:sz w:val="22"/>
          <w:u w:val="none"/>
          <w:effect w:val="none"/>
        </w:rPr>
        <w:t>Los referentes para la comprobación del grado de adquisición de las competencias clave y el logro de los objetivos de la etapa serán los criterios de evaluación de las diferentes materias asociados a las competencias específicas. Dichos criterios de evaluación, actúan como puente entre las competencias específicas y los descriptores operativos del grado de desarrollo de las competencias clave relacionados en el Perfil de salida.</w:t>
      </w:r>
    </w:p>
    <w:p>
      <w:pPr>
        <w:pStyle w:val="Cuerpodetexto"/>
        <w:rPr/>
      </w:pPr>
      <w:r>
        <w:rPr/>
      </w:r>
    </w:p>
    <w:p>
      <w:pPr>
        <w:pStyle w:val="Cuerpodetexto"/>
        <w:bidi w:val="0"/>
        <w:spacing w:lineRule="auto" w:line="288" w:before="0" w:after="0"/>
        <w:ind w:left="57" w:right="0" w:hanging="0"/>
        <w:jc w:val="both"/>
        <w:rPr/>
      </w:pPr>
      <w:r>
        <w:rPr>
          <w:rFonts w:ascii="Calibri;sans-serif" w:hAnsi="Calibri;sans-serif"/>
          <w:b w:val="false"/>
          <w:i w:val="false"/>
          <w:caps w:val="false"/>
          <w:smallCaps w:val="false"/>
          <w:strike w:val="false"/>
          <w:dstrike w:val="false"/>
          <w:color w:val="000000"/>
          <w:sz w:val="22"/>
          <w:u w:val="none"/>
          <w:effect w:val="none"/>
        </w:rPr>
        <w:t>Del mismo modo, en el Artículo 14 de dicha Orden se establece que: </w:t>
      </w:r>
    </w:p>
    <w:p>
      <w:pPr>
        <w:pStyle w:val="Cuerpodetexto"/>
        <w:bidi w:val="0"/>
        <w:spacing w:lineRule="auto" w:line="288" w:before="0" w:after="0"/>
        <w:ind w:left="57" w:right="0" w:hanging="0"/>
        <w:jc w:val="both"/>
        <w:rPr/>
      </w:pPr>
      <w:r>
        <w:rPr>
          <w:rFonts w:ascii="Calibri;sans-serif" w:hAnsi="Calibri;sans-serif"/>
          <w:b w:val="false"/>
          <w:i/>
          <w:caps w:val="false"/>
          <w:smallCaps w:val="false"/>
          <w:strike w:val="false"/>
          <w:dstrike w:val="false"/>
          <w:color w:val="000000"/>
          <w:sz w:val="22"/>
          <w:u w:val="none"/>
          <w:effect w:val="none"/>
        </w:rPr>
        <w:t>La evaluación del alumnado será integradora, continua y formativa, y tendrá en cuenta el grado de desarrollo de las competencias clave y su progreso en el conjunto de los procesos de aprendizaje.</w:t>
      </w:r>
    </w:p>
    <w:p>
      <w:pPr>
        <w:pStyle w:val="Cuerpodetexto"/>
        <w:rPr/>
      </w:pPr>
      <w:r>
        <w:rPr/>
      </w:r>
    </w:p>
    <w:p>
      <w:pPr>
        <w:pStyle w:val="Cuerpodetexto"/>
        <w:bidi w:val="0"/>
        <w:spacing w:lineRule="auto" w:line="288" w:before="0" w:after="0"/>
        <w:ind w:left="57" w:right="0" w:hanging="0"/>
        <w:jc w:val="both"/>
        <w:rPr/>
      </w:pPr>
      <w:r>
        <w:rPr>
          <w:rFonts w:ascii="Calibri;sans-serif" w:hAnsi="Calibri;sans-serif"/>
          <w:b w:val="false"/>
          <w:i/>
          <w:caps w:val="false"/>
          <w:smallCaps w:val="false"/>
          <w:strike w:val="false"/>
          <w:dstrike w:val="false"/>
          <w:color w:val="000000"/>
          <w:sz w:val="22"/>
          <w:u w:val="none"/>
          <w:effect w:val="none"/>
        </w:rPr>
        <w:t>En el contexto del proceso de evaluación continua, cuando el progreso del alumnado no sea el adecuado, se establecerán las medidas de refuerzo educativo. Estas medidas deberán adoptarse tan pronto se detecten las dificultades y estarán dirigidas a garantizar la adquisición de los aprendizajes imprescindibles para continuar el proceso educativo. El profesorado recogerá información de manera permanente acerca del proceso de enseñanza y de aprendizaje de su alumnado con especial atención a los objetivos, competencias específicas y criterios de evaluación. Los procedimientos e instrumentos de evaluación utilizados deberán permitir la constatación de los progresos realizados por cada alumno y por cada alumna, teniendo en cuenta su particular situación inicial y atendiendo a la diversidad de capacidades, actitudes y ritmos de aprendizaje.</w:t>
      </w:r>
    </w:p>
    <w:p>
      <w:pPr>
        <w:pStyle w:val="Cuerpodetexto"/>
        <w:rPr/>
      </w:pPr>
      <w:r>
        <w:rPr/>
      </w:r>
    </w:p>
    <w:p>
      <w:pPr>
        <w:pStyle w:val="Cuerpodetexto"/>
        <w:bidi w:val="0"/>
        <w:spacing w:lineRule="auto" w:line="288" w:before="0" w:after="0"/>
        <w:ind w:left="57" w:right="0" w:hanging="0"/>
        <w:jc w:val="both"/>
        <w:rPr/>
      </w:pPr>
      <w:r>
        <w:rPr>
          <w:rFonts w:ascii="Calibri;sans-serif" w:hAnsi="Calibri;sans-serif"/>
          <w:b w:val="false"/>
          <w:i w:val="false"/>
          <w:caps w:val="false"/>
          <w:smallCaps w:val="false"/>
          <w:strike w:val="false"/>
          <w:dstrike w:val="false"/>
          <w:color w:val="000000"/>
          <w:sz w:val="22"/>
          <w:u w:val="none"/>
          <w:effect w:val="none"/>
        </w:rPr>
        <w:t>Por tanto, en el contexto de la evaluación continua, cuando el progreso de un alumno no sea el adecuado, se establecerán medidas de refuerzo educativo para reorientar el proceso de enseñanza-aprendizaje de cara a la adquisición de las competencias clave al finalizar el curso. Estas medidas de refuerzo pueden adoptarse en cualquier momento del curso y sirven también como medida de atención a la diversidad de capacidades y estilos de aprendizaje del alumnado que constituye el grupo. Por tanto, esta evaluación se aplica durante el proceso didáctico y se basa en la observación de las actividades de aprendizaje que va realizando el alumno, por lo que no tiene como objetivo dar calificaciones sino mostrar al profesor (y al propio alumno) el grado de desarrollo de su aprendizaje. </w:t>
      </w:r>
    </w:p>
    <w:p>
      <w:pPr>
        <w:pStyle w:val="Cuerpodetexto"/>
        <w:rPr/>
      </w:pPr>
      <w:r>
        <w:rPr/>
      </w:r>
    </w:p>
    <w:p>
      <w:pPr>
        <w:pStyle w:val="Cuerpodetexto"/>
        <w:bidi w:val="0"/>
        <w:spacing w:lineRule="auto" w:line="288" w:before="0" w:after="0"/>
        <w:ind w:left="57" w:right="0" w:hanging="0"/>
        <w:jc w:val="both"/>
        <w:rPr/>
      </w:pPr>
      <w:r>
        <w:rPr>
          <w:rFonts w:ascii="Calibri;sans-serif" w:hAnsi="Calibri;sans-serif"/>
          <w:b w:val="false"/>
          <w:i w:val="false"/>
          <w:caps w:val="false"/>
          <w:smallCaps w:val="false"/>
          <w:strike w:val="false"/>
          <w:dstrike w:val="false"/>
          <w:color w:val="000000"/>
          <w:sz w:val="22"/>
          <w:u w:val="none"/>
          <w:effect w:val="none"/>
        </w:rPr>
        <w:t>La evaluación se entiende como un elemento formativo, ya que debe servir para que los alumnos/as sean conscientes de los errores que hayan cometido y puedan aprender de sus propios fallos, lo que contribuye a la competencia clave de aprender a aprender. En este sentido, cualquier instrumento de evaluación será mostrado al alumno con sus correcciones e indicaciones correspondientes que justifiquen la calificación y que sirvan de base para lograr aquellos objetivos que no se hayan logrado todavía.  </w:t>
      </w:r>
    </w:p>
    <w:p>
      <w:pPr>
        <w:pStyle w:val="Cuerpodetexto"/>
        <w:rPr/>
      </w:pPr>
      <w:r>
        <w:rPr/>
      </w:r>
    </w:p>
    <w:p>
      <w:pPr>
        <w:pStyle w:val="Cuerpodetexto"/>
        <w:bidi w:val="0"/>
        <w:spacing w:lineRule="auto" w:line="288" w:before="0" w:after="0"/>
        <w:ind w:left="57" w:right="0" w:hanging="0"/>
        <w:jc w:val="both"/>
        <w:rPr/>
      </w:pPr>
      <w:r>
        <w:rPr>
          <w:rFonts w:ascii="Calibri;sans-serif" w:hAnsi="Calibri;sans-serif"/>
          <w:b w:val="false"/>
          <w:i w:val="false"/>
          <w:caps w:val="false"/>
          <w:smallCaps w:val="false"/>
          <w:strike w:val="false"/>
          <w:dstrike w:val="false"/>
          <w:color w:val="000000"/>
          <w:sz w:val="22"/>
          <w:u w:val="none"/>
          <w:effect w:val="none"/>
        </w:rPr>
        <w:t>Mientras que la evaluación también tiene carácter integrador, ya que las diferentes materias de los diferentes cursos de la ESO deben contribuir a lograr los objetivos establecidos para la etapa de la ESO y el desarrollo de las competencias clave.  </w:t>
      </w:r>
    </w:p>
    <w:p>
      <w:pPr>
        <w:pStyle w:val="Cuerpodetexto"/>
        <w:rPr/>
      </w:pPr>
      <w:r>
        <w:rPr/>
      </w:r>
    </w:p>
    <w:p>
      <w:pPr>
        <w:pStyle w:val="Cuerpodetexto"/>
        <w:bidi w:val="0"/>
        <w:spacing w:lineRule="auto" w:line="288" w:before="0" w:after="0"/>
        <w:ind w:left="57" w:right="0" w:hanging="0"/>
        <w:jc w:val="both"/>
        <w:rPr/>
      </w:pPr>
      <w:r>
        <w:rPr>
          <w:rFonts w:ascii="Calibri;sans-serif" w:hAnsi="Calibri;sans-serif"/>
          <w:b w:val="false"/>
          <w:i w:val="false"/>
          <w:caps w:val="false"/>
          <w:smallCaps w:val="false"/>
          <w:strike w:val="false"/>
          <w:dstrike w:val="false"/>
          <w:color w:val="000000"/>
          <w:sz w:val="22"/>
          <w:u w:val="none"/>
          <w:effect w:val="none"/>
        </w:rPr>
        <w:t>En el marco de las competencias clave, la evaluación debe ser global, es decir, debe considerar no solo la capacidad de un alumno para resolver un problema modelo determinado, sino su capacidad para colaborar con otros alumnos en la resolución de una misma tarea, su expresión oral al explicar la resolución de un problema en la pizarra, etc. De este modo no solo se evalúan conocimientos sino también lo contemplado en las competencias clave. </w:t>
      </w:r>
    </w:p>
    <w:p>
      <w:pPr>
        <w:pStyle w:val="Cuerpodetexto"/>
        <w:rPr/>
      </w:pPr>
      <w:r>
        <w:rPr/>
      </w:r>
    </w:p>
    <w:p>
      <w:pPr>
        <w:pStyle w:val="Cuerpodetexto"/>
        <w:bidi w:val="0"/>
        <w:spacing w:lineRule="auto" w:line="288" w:before="0" w:after="0"/>
        <w:ind w:left="57" w:right="0" w:hanging="0"/>
        <w:jc w:val="both"/>
        <w:rPr/>
      </w:pPr>
      <w:r>
        <w:rPr>
          <w:rFonts w:ascii="Calibri;sans-serif" w:hAnsi="Calibri;sans-serif"/>
          <w:b w:val="false"/>
          <w:i w:val="false"/>
          <w:caps w:val="false"/>
          <w:smallCaps w:val="false"/>
          <w:strike w:val="false"/>
          <w:dstrike w:val="false"/>
          <w:color w:val="000000"/>
          <w:sz w:val="22"/>
          <w:u w:val="none"/>
          <w:effect w:val="none"/>
        </w:rPr>
        <w:t>Por último, los alumnos tienen derecho a ser evaluados con objetividad, de ahí que se publiquen a principio de curso los criterios de evaluación y los criterios de calificación de cada asignatura del departamento de Física y Química. En esta línea, todos los ejercicios o tareas tendrán asignado un peso determinado en la calificación del instrumento de evaluación que será conocido por el alumno/a. Además, se informará a los alumnos/as de que  en las pruebas escritas se pueden establecer una serie de penalizaciones (por ausencia de unidades en un resultado, por faltas de ortografía, por ausencia de las fórmulas, etc.). Por supuesto, el docente estará siempre a disposición del alumno para aclararle cualquier duda en la calificación de un instrumento de evaluación y para corregir cualquier error originado por el docente en la corrección. </w:t>
      </w:r>
    </w:p>
    <w:p>
      <w:pPr>
        <w:pStyle w:val="Cuerpodetexto"/>
        <w:rPr/>
      </w:pPr>
      <w:r>
        <w:rPr/>
      </w:r>
    </w:p>
    <w:p>
      <w:pPr>
        <w:pStyle w:val="Cuerpodetexto"/>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Para poder evaluar de forma global teniendo en cuenta las competencias clave es necesario recurrir a variados procedimientos de evaluación que se basan en diferentes instrumentos de evaluación. Tal y como establece la legislación</w:t>
      </w:r>
      <w:r>
        <w:rPr>
          <w:rFonts w:ascii="Calibri;sans-serif" w:hAnsi="Calibri;sans-serif"/>
          <w:b/>
          <w:i w:val="false"/>
          <w:caps w:val="false"/>
          <w:smallCaps w:val="false"/>
          <w:strike w:val="false"/>
          <w:dstrike w:val="false"/>
          <w:color w:val="000000"/>
          <w:sz w:val="22"/>
          <w:u w:val="none"/>
          <w:effect w:val="none"/>
        </w:rPr>
        <w:t xml:space="preserve">, </w:t>
      </w:r>
      <w:r>
        <w:rPr>
          <w:rFonts w:ascii="Calibri;sans-serif" w:hAnsi="Calibri;sans-serif"/>
          <w:b w:val="false"/>
          <w:i w:val="false"/>
          <w:caps w:val="false"/>
          <w:smallCaps w:val="false"/>
          <w:strike w:val="false"/>
          <w:dstrike w:val="false"/>
          <w:color w:val="000000"/>
          <w:sz w:val="22"/>
          <w:u w:val="none"/>
          <w:effect w:val="none"/>
        </w:rPr>
        <w:t>los referentes de la evaluación son los Criterios de Evaluación, por tanto, todos los elementos que intervienen en la evaluación estarán referidos a los Criterios de Evaluación.</w:t>
      </w:r>
    </w:p>
    <w:p>
      <w:pPr>
        <w:pStyle w:val="Cuerpodetexto"/>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En la siguiente tabla se muestran los procedimiento de evaluación que se van a utilizar en el curso académico.</w:t>
      </w:r>
    </w:p>
    <w:p>
      <w:pPr>
        <w:pStyle w:val="Cuerpodetexto"/>
        <w:rPr/>
      </w:pPr>
      <w:r>
        <w:rPr/>
      </w:r>
    </w:p>
    <w:p>
      <w:pPr>
        <w:pStyle w:val="Cuerpodetexto"/>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Los instrumentos de evaluación serán:</w:t>
      </w:r>
    </w:p>
    <w:p>
      <w:pPr>
        <w:pStyle w:val="Cuerpodetexto"/>
        <w:rPr/>
      </w:pPr>
      <w:r>
        <w:rPr/>
      </w:r>
    </w:p>
    <w:p>
      <w:pPr>
        <w:pStyle w:val="Cuerpodetexto"/>
        <w:numPr>
          <w:ilvl w:val="0"/>
          <w:numId w:val="9"/>
        </w:numPr>
        <w:tabs>
          <w:tab w:val="clear" w:pos="720"/>
          <w:tab w:val="left" w:pos="0" w:leader="none"/>
        </w:tabs>
        <w:bidi w:val="0"/>
        <w:spacing w:lineRule="auto" w:line="288" w:before="0" w:after="0"/>
        <w:ind w:left="707" w:hanging="283"/>
        <w:jc w:val="both"/>
        <w:rPr/>
      </w:pPr>
      <w:r>
        <w:rPr>
          <w:rFonts w:ascii="Calibri;sans-serif" w:hAnsi="Calibri;sans-serif"/>
          <w:b w:val="false"/>
          <w:i w:val="false"/>
          <w:caps w:val="false"/>
          <w:smallCaps w:val="false"/>
          <w:strike w:val="false"/>
          <w:dstrike w:val="false"/>
          <w:color w:val="000000"/>
          <w:sz w:val="22"/>
          <w:u w:val="none"/>
          <w:effect w:val="none"/>
        </w:rPr>
        <w:t>Pruebas objetivas (exámenes) en las que se plantean actividades, problemas numéricos y preguntas teóricas.</w:t>
      </w:r>
    </w:p>
    <w:p>
      <w:pPr>
        <w:pStyle w:val="Cuerpodetexto"/>
        <w:numPr>
          <w:ilvl w:val="0"/>
          <w:numId w:val="9"/>
        </w:numPr>
        <w:tabs>
          <w:tab w:val="clear" w:pos="720"/>
          <w:tab w:val="left" w:pos="0" w:leader="none"/>
        </w:tabs>
        <w:bidi w:val="0"/>
        <w:spacing w:lineRule="auto" w:line="288" w:before="0" w:after="0"/>
        <w:ind w:left="707" w:hanging="283"/>
        <w:jc w:val="both"/>
        <w:rPr/>
      </w:pPr>
      <w:r>
        <w:rPr>
          <w:rFonts w:ascii="Calibri;sans-serif" w:hAnsi="Calibri;sans-serif"/>
          <w:b w:val="false"/>
          <w:i w:val="false"/>
          <w:caps w:val="false"/>
          <w:smallCaps w:val="false"/>
          <w:strike w:val="false"/>
          <w:dstrike w:val="false"/>
          <w:color w:val="000000"/>
          <w:sz w:val="22"/>
          <w:u w:val="none"/>
          <w:effect w:val="none"/>
        </w:rPr>
        <w:t>Control de los deberes y del trabajo realizado en el aula.  Realización de ejercicios. Cuaderno y seguimiento. </w:t>
      </w:r>
    </w:p>
    <w:p>
      <w:pPr>
        <w:pStyle w:val="Cuerpodetexto"/>
        <w:numPr>
          <w:ilvl w:val="0"/>
          <w:numId w:val="9"/>
        </w:numPr>
        <w:tabs>
          <w:tab w:val="clear" w:pos="720"/>
          <w:tab w:val="left" w:pos="0" w:leader="none"/>
        </w:tabs>
        <w:bidi w:val="0"/>
        <w:spacing w:lineRule="auto" w:line="288" w:before="0" w:after="0"/>
        <w:ind w:left="707" w:hanging="283"/>
        <w:jc w:val="both"/>
        <w:rPr/>
      </w:pPr>
      <w:r>
        <w:rPr>
          <w:rFonts w:ascii="Calibri;sans-serif" w:hAnsi="Calibri;sans-serif"/>
          <w:b w:val="false"/>
          <w:i w:val="false"/>
          <w:caps w:val="false"/>
          <w:smallCaps w:val="false"/>
          <w:strike w:val="false"/>
          <w:dstrike w:val="false"/>
          <w:color w:val="000000"/>
          <w:sz w:val="22"/>
          <w:u w:val="none"/>
          <w:effect w:val="none"/>
        </w:rPr>
        <w:t>Planteamiento y resolución de actividades en clase, de forma oral o por escrito, por parte de los alumnos.</w:t>
      </w:r>
    </w:p>
    <w:p>
      <w:pPr>
        <w:pStyle w:val="Cuerpodetexto"/>
        <w:numPr>
          <w:ilvl w:val="0"/>
          <w:numId w:val="9"/>
        </w:numPr>
        <w:tabs>
          <w:tab w:val="clear" w:pos="720"/>
          <w:tab w:val="left" w:pos="0" w:leader="none"/>
        </w:tabs>
        <w:bidi w:val="0"/>
        <w:spacing w:lineRule="auto" w:line="288" w:before="0" w:after="0"/>
        <w:ind w:left="707" w:hanging="283"/>
        <w:jc w:val="both"/>
        <w:rPr/>
      </w:pPr>
      <w:r>
        <w:rPr>
          <w:rFonts w:ascii="Calibri;sans-serif" w:hAnsi="Calibri;sans-serif"/>
          <w:b w:val="false"/>
          <w:i w:val="false"/>
          <w:caps w:val="false"/>
          <w:smallCaps w:val="false"/>
          <w:strike w:val="false"/>
          <w:dstrike w:val="false"/>
          <w:color w:val="000000"/>
          <w:sz w:val="22"/>
          <w:u w:val="none"/>
          <w:effect w:val="none"/>
        </w:rPr>
        <w:t>Informes de laboratorio y resolución de cuestiones planteadas en el mismo sobre las prácticas que se realicen.</w:t>
      </w:r>
    </w:p>
    <w:p>
      <w:pPr>
        <w:pStyle w:val="Cuerpodetexto"/>
        <w:numPr>
          <w:ilvl w:val="0"/>
          <w:numId w:val="9"/>
        </w:numPr>
        <w:tabs>
          <w:tab w:val="clear" w:pos="720"/>
          <w:tab w:val="left" w:pos="0" w:leader="none"/>
        </w:tabs>
        <w:bidi w:val="0"/>
        <w:spacing w:lineRule="auto" w:line="288" w:before="0" w:after="0"/>
        <w:ind w:left="707" w:hanging="283"/>
        <w:jc w:val="both"/>
        <w:rPr/>
      </w:pPr>
      <w:r>
        <w:rPr>
          <w:rFonts w:ascii="Calibri;sans-serif" w:hAnsi="Calibri;sans-serif"/>
          <w:b w:val="false"/>
          <w:i w:val="false"/>
          <w:caps w:val="false"/>
          <w:smallCaps w:val="false"/>
          <w:strike w:val="false"/>
          <w:dstrike w:val="false"/>
          <w:color w:val="000000"/>
          <w:sz w:val="22"/>
          <w:u w:val="none"/>
          <w:effect w:val="none"/>
        </w:rPr>
        <w:t>Valoración de la participación en clase</w:t>
      </w:r>
    </w:p>
    <w:p>
      <w:pPr>
        <w:pStyle w:val="Cuerpodetexto"/>
        <w:numPr>
          <w:ilvl w:val="0"/>
          <w:numId w:val="9"/>
        </w:numPr>
        <w:tabs>
          <w:tab w:val="clear" w:pos="720"/>
          <w:tab w:val="left" w:pos="0" w:leader="none"/>
        </w:tabs>
        <w:bidi w:val="0"/>
        <w:spacing w:lineRule="auto" w:line="288" w:before="0" w:after="0"/>
        <w:ind w:left="707" w:hanging="283"/>
        <w:jc w:val="both"/>
        <w:rPr/>
      </w:pPr>
      <w:r>
        <w:rPr>
          <w:rFonts w:ascii="Calibri;sans-serif" w:hAnsi="Calibri;sans-serif"/>
          <w:b w:val="false"/>
          <w:i w:val="false"/>
          <w:caps w:val="false"/>
          <w:smallCaps w:val="false"/>
          <w:strike w:val="false"/>
          <w:dstrike w:val="false"/>
          <w:color w:val="000000"/>
          <w:sz w:val="22"/>
          <w:u w:val="none"/>
          <w:effect w:val="none"/>
        </w:rPr>
        <w:t>Trabajos cooperativos en grupos heterogéneos.</w:t>
      </w:r>
    </w:p>
    <w:p>
      <w:pPr>
        <w:pStyle w:val="Normal"/>
        <w:jc w:val="both"/>
        <w:rPr>
          <w:bCs/>
        </w:rPr>
      </w:pPr>
      <w:r>
        <w:rPr>
          <w:bCs/>
        </w:rPr>
      </w:r>
    </w:p>
    <w:p>
      <w:pPr>
        <w:pStyle w:val="Normal"/>
        <w:jc w:val="both"/>
        <w:rPr/>
      </w:pPr>
      <w:r>
        <w:rPr>
          <w:rFonts w:eastAsia="Cambria" w:cs="Cambria"/>
          <w:b/>
          <w:sz w:val="22"/>
          <w:szCs w:val="22"/>
          <w:u w:val="single"/>
        </w:rPr>
        <w:t>4. CRITERIOS DE CALIFICACIÓN</w:t>
      </w:r>
    </w:p>
    <w:p>
      <w:pPr>
        <w:pStyle w:val="Cuerpodetexto"/>
        <w:jc w:val="both"/>
        <w:rPr/>
      </w:pPr>
      <w:bookmarkStart w:id="10" w:name="docs-internal-guid-f0695688-7fff-03d8-5e"/>
      <w:bookmarkEnd w:id="10"/>
      <w:r>
        <w:rPr>
          <w:b w:val="false"/>
          <w:i w:val="false"/>
          <w:caps w:val="false"/>
          <w:smallCaps w:val="false"/>
          <w:strike w:val="false"/>
          <w:dstrike w:val="false"/>
          <w:color w:val="000000"/>
          <w:sz w:val="22"/>
          <w:szCs w:val="22"/>
          <w:u w:val="none"/>
          <w:effect w:val="none"/>
        </w:rPr>
        <w:t>Teniendo en cuenta los procedimientos e instrumentos de evaluación indicados anteriormente en esta programación, se indican a continuación los criterios de calificación que se van a utilizar para este curso para obtener la calificación final de cada evaluación:</w:t>
      </w:r>
    </w:p>
    <w:p>
      <w:pPr>
        <w:pStyle w:val="Cuerpodetexto"/>
        <w:numPr>
          <w:ilvl w:val="0"/>
          <w:numId w:val="10"/>
        </w:numPr>
        <w:tabs>
          <w:tab w:val="clear" w:pos="720"/>
          <w:tab w:val="left" w:pos="0" w:leader="none"/>
        </w:tabs>
        <w:bidi w:val="0"/>
        <w:spacing w:lineRule="auto" w:line="288" w:before="0" w:after="0"/>
        <w:ind w:left="837" w:right="0" w:hanging="283"/>
        <w:jc w:val="both"/>
        <w:rPr/>
      </w:pPr>
      <w:r>
        <w:rPr>
          <w:rFonts w:ascii="Calibri;sans-serif" w:hAnsi="Calibri;sans-serif"/>
          <w:b w:val="false"/>
          <w:i w:val="false"/>
          <w:caps w:val="false"/>
          <w:smallCaps w:val="false"/>
          <w:strike w:val="false"/>
          <w:dstrike w:val="false"/>
          <w:color w:val="000000"/>
          <w:sz w:val="22"/>
          <w:u w:val="none"/>
          <w:effect w:val="none"/>
        </w:rPr>
        <w:t>La media aritmética de la nota obtenida en los exámenes que se realicen a lo largo de la evaluación tendrá un peso del 80 % de la nota final.</w:t>
      </w:r>
    </w:p>
    <w:p>
      <w:pPr>
        <w:pStyle w:val="Cuerpodetexto"/>
        <w:bidi w:val="0"/>
        <w:spacing w:lineRule="auto" w:line="288" w:before="0" w:after="0"/>
        <w:ind w:left="850" w:right="0" w:hanging="0"/>
        <w:jc w:val="both"/>
        <w:rPr/>
      </w:pPr>
      <w:r>
        <w:rPr>
          <w:rFonts w:ascii="Calibri;sans-serif" w:hAnsi="Calibri;sans-serif"/>
          <w:b w:val="false"/>
          <w:i w:val="false"/>
          <w:caps w:val="false"/>
          <w:smallCaps w:val="false"/>
          <w:strike w:val="false"/>
          <w:dstrike w:val="false"/>
          <w:color w:val="000000"/>
          <w:sz w:val="22"/>
          <w:u w:val="none"/>
          <w:effect w:val="none"/>
        </w:rPr>
        <w:t>Se intentará como mínimo dos exámenes por evaluación. El contenido de estos exámenes se basará en los saberes y procedimientos  y podrán incluir actividades realizadas en clase y en laboratorio.</w:t>
      </w:r>
    </w:p>
    <w:p>
      <w:pPr>
        <w:pStyle w:val="Cuerpodetexto"/>
        <w:bidi w:val="0"/>
        <w:spacing w:lineRule="auto" w:line="288" w:before="0" w:after="0"/>
        <w:ind w:left="850" w:right="0" w:hanging="0"/>
        <w:jc w:val="both"/>
        <w:rPr/>
      </w:pPr>
      <w:r>
        <w:rPr>
          <w:rFonts w:ascii="Calibri;sans-serif" w:hAnsi="Calibri;sans-serif"/>
          <w:b w:val="false"/>
          <w:i w:val="false"/>
          <w:caps w:val="false"/>
          <w:smallCaps w:val="false"/>
          <w:strike w:val="false"/>
          <w:dstrike w:val="false"/>
          <w:color w:val="000000"/>
          <w:sz w:val="22"/>
          <w:u w:val="none"/>
          <w:effect w:val="none"/>
        </w:rPr>
        <w:t>Para hallar la contribución de los exámenes a la nota final de una evaluación, se hará la media ponderada de los exámenes realizados</w:t>
      </w:r>
    </w:p>
    <w:p>
      <w:pPr>
        <w:pStyle w:val="Cuerpodetexto"/>
        <w:rPr/>
      </w:pPr>
      <w:r>
        <w:rPr/>
      </w:r>
    </w:p>
    <w:p>
      <w:pPr>
        <w:pStyle w:val="Cuerpodetexto"/>
        <w:bidi w:val="0"/>
        <w:spacing w:lineRule="auto" w:line="288" w:before="0" w:after="0"/>
        <w:ind w:left="850" w:right="0" w:hanging="0"/>
        <w:jc w:val="both"/>
        <w:rPr/>
      </w:pPr>
      <w:r>
        <w:rPr>
          <w:rFonts w:ascii="Calibri;sans-serif" w:hAnsi="Calibri;sans-serif"/>
          <w:b w:val="false"/>
          <w:i w:val="false"/>
          <w:caps w:val="false"/>
          <w:smallCaps w:val="false"/>
          <w:strike w:val="false"/>
          <w:dstrike w:val="false"/>
          <w:color w:val="auto"/>
          <w:sz w:val="22"/>
          <w:u w:val="none"/>
          <w:effect w:val="none"/>
        </w:rPr>
        <w:t>Si no se presenta a un examen sin causa justificada la nota será de 0 </w:t>
      </w:r>
    </w:p>
    <w:p>
      <w:pPr>
        <w:pStyle w:val="Cuerpodetexto"/>
        <w:bidi w:val="0"/>
        <w:spacing w:lineRule="auto" w:line="288" w:before="0" w:after="0"/>
        <w:ind w:left="850" w:right="0" w:hanging="0"/>
        <w:jc w:val="both"/>
        <w:rPr/>
      </w:pPr>
      <w:r>
        <w:rPr>
          <w:rFonts w:ascii="Calibri;sans-serif" w:hAnsi="Calibri;sans-serif"/>
          <w:b w:val="false"/>
          <w:i w:val="false"/>
          <w:caps w:val="false"/>
          <w:smallCaps w:val="false"/>
          <w:strike w:val="false"/>
          <w:dstrike w:val="false"/>
          <w:color w:val="auto"/>
          <w:sz w:val="22"/>
          <w:u w:val="none"/>
          <w:effect w:val="none"/>
        </w:rPr>
        <w:t>Si a un alumno se le coge haciendo algo irregular durante un examen su calificación sera de 0 </w:t>
      </w:r>
    </w:p>
    <w:p>
      <w:pPr>
        <w:pStyle w:val="Cuerpodetexto"/>
        <w:rPr>
          <w:color w:val="auto"/>
        </w:rPr>
      </w:pPr>
      <w:r>
        <w:rPr>
          <w:color w:val="auto"/>
        </w:rPr>
      </w:r>
    </w:p>
    <w:p>
      <w:pPr>
        <w:pStyle w:val="Cuerpodetexto"/>
        <w:numPr>
          <w:ilvl w:val="0"/>
          <w:numId w:val="11"/>
        </w:numPr>
        <w:tabs>
          <w:tab w:val="clear" w:pos="720"/>
          <w:tab w:val="left" w:pos="0" w:leader="none"/>
        </w:tabs>
        <w:bidi w:val="0"/>
        <w:spacing w:lineRule="auto" w:line="288" w:before="0" w:after="0"/>
        <w:ind w:left="707" w:hanging="283"/>
        <w:jc w:val="both"/>
        <w:rPr/>
      </w:pPr>
      <w:r>
        <w:rPr>
          <w:rFonts w:ascii="Calibri;sans-serif" w:hAnsi="Calibri;sans-serif"/>
          <w:b w:val="false"/>
          <w:i w:val="false"/>
          <w:caps w:val="false"/>
          <w:smallCaps w:val="false"/>
          <w:strike w:val="false"/>
          <w:dstrike w:val="false"/>
          <w:color w:val="000000"/>
          <w:sz w:val="22"/>
          <w:u w:val="none"/>
          <w:effect w:val="none"/>
        </w:rPr>
        <w:t>El profesor supervisará los instrumentos 2, 3 ,4 ,5 y 6  , a partir de las tareas que se encarguen al alumno (incluyendo tanto los ejercicios propuestos en clase, como las tareas para casa o los informes de las prácticas de laboratorio).</w:t>
      </w:r>
    </w:p>
    <w:p>
      <w:pPr>
        <w:pStyle w:val="Cuerpodetexto"/>
        <w:bidi w:val="0"/>
        <w:spacing w:lineRule="auto" w:line="288" w:before="0" w:after="0"/>
        <w:ind w:left="720" w:right="0" w:hanging="0"/>
        <w:jc w:val="both"/>
        <w:rPr/>
      </w:pPr>
      <w:r>
        <w:rPr>
          <w:rFonts w:ascii="Calibri;sans-serif" w:hAnsi="Calibri;sans-serif"/>
          <w:b w:val="false"/>
          <w:i w:val="false"/>
          <w:caps w:val="false"/>
          <w:smallCaps w:val="false"/>
          <w:strike w:val="false"/>
          <w:dstrike w:val="false"/>
          <w:color w:val="000000"/>
          <w:sz w:val="22"/>
          <w:u w:val="none"/>
          <w:effect w:val="none"/>
        </w:rPr>
        <w:t>Por otra parte, el cuaderno de clase será de entrega obligatoria en la fecha indicada por el profesor.  </w:t>
      </w:r>
    </w:p>
    <w:p>
      <w:pPr>
        <w:pStyle w:val="Cuerpodetexto"/>
        <w:bidi w:val="0"/>
        <w:spacing w:lineRule="auto" w:line="288" w:before="0" w:after="0"/>
        <w:ind w:left="720" w:right="0" w:hanging="0"/>
        <w:jc w:val="both"/>
        <w:rPr/>
      </w:pPr>
      <w:r>
        <w:rPr>
          <w:rFonts w:ascii="Calibri;sans-serif" w:hAnsi="Calibri;sans-serif"/>
          <w:b w:val="false"/>
          <w:i w:val="false"/>
          <w:caps w:val="false"/>
          <w:smallCaps w:val="false"/>
          <w:strike w:val="false"/>
          <w:dstrike w:val="false"/>
          <w:color w:val="000000"/>
          <w:sz w:val="22"/>
          <w:u w:val="none"/>
          <w:effect w:val="none"/>
        </w:rPr>
        <w:t>La valoración de este apartado supondrá un 20 % de la nota final. El porcentaje de cada una de las partes, variará en función del número de prácticas y/o trabajos que se hayan podido realizar.</w:t>
      </w:r>
    </w:p>
    <w:p>
      <w:pPr>
        <w:pStyle w:val="Cuerpodetexto"/>
        <w:rPr/>
      </w:pPr>
      <w:r>
        <w:rPr/>
      </w:r>
    </w:p>
    <w:p>
      <w:pPr>
        <w:pStyle w:val="Cuerpodetexto"/>
        <w:bidi w:val="0"/>
        <w:spacing w:lineRule="auto" w:line="288" w:before="0" w:after="0"/>
        <w:ind w:left="720" w:right="0" w:hanging="0"/>
        <w:jc w:val="both"/>
        <w:rPr/>
      </w:pPr>
      <w:r>
        <w:rPr>
          <w:rFonts w:ascii="Calibri;sans-serif" w:hAnsi="Calibri;sans-serif"/>
          <w:b w:val="false"/>
          <w:i w:val="false"/>
          <w:caps w:val="false"/>
          <w:smallCaps w:val="false"/>
          <w:strike w:val="false"/>
          <w:dstrike w:val="false"/>
          <w:color w:val="auto"/>
          <w:sz w:val="22"/>
          <w:u w:val="none"/>
          <w:effect w:val="none"/>
        </w:rPr>
        <w:t>Los trabajos y practicas de laboratorio tendrán fecha de entrega, si se entregan después su nota será de 0 </w:t>
      </w:r>
    </w:p>
    <w:p>
      <w:pPr>
        <w:pStyle w:val="Cuerpodetexto"/>
        <w:rPr>
          <w:color w:val="auto"/>
        </w:rPr>
      </w:pPr>
      <w:r>
        <w:rPr>
          <w:color w:val="auto"/>
        </w:rPr>
      </w:r>
    </w:p>
    <w:p>
      <w:pPr>
        <w:pStyle w:val="Cuerpodetexto"/>
        <w:numPr>
          <w:ilvl w:val="0"/>
          <w:numId w:val="12"/>
        </w:numPr>
        <w:tabs>
          <w:tab w:val="clear" w:pos="720"/>
          <w:tab w:val="left" w:pos="0" w:leader="none"/>
        </w:tabs>
        <w:bidi w:val="0"/>
        <w:spacing w:lineRule="auto" w:line="288" w:before="0" w:after="0"/>
        <w:ind w:left="707" w:right="0" w:hanging="283"/>
        <w:jc w:val="both"/>
        <w:rPr/>
      </w:pPr>
      <w:r>
        <w:rPr>
          <w:rFonts w:ascii="Calibri;sans-serif" w:hAnsi="Calibri;sans-serif"/>
          <w:b w:val="false"/>
          <w:i w:val="false"/>
          <w:caps w:val="false"/>
          <w:smallCaps w:val="false"/>
          <w:strike w:val="false"/>
          <w:dstrike w:val="false"/>
          <w:color w:val="000000"/>
          <w:sz w:val="22"/>
          <w:u w:val="none"/>
          <w:effect w:val="none"/>
        </w:rPr>
        <w:t>Aquellos alumnos que no alcancen la calificación de 5 en una evaluación, tendrán la posibilidad de recuperarla por medio de una prueba escrita que se realizará una vez haya finalizado la evaluación.</w:t>
      </w:r>
    </w:p>
    <w:p>
      <w:pPr>
        <w:pStyle w:val="Cuerpodetexto"/>
        <w:bidi w:val="0"/>
        <w:spacing w:lineRule="auto" w:line="288" w:before="0" w:after="0"/>
        <w:ind w:left="283" w:right="0" w:hanging="0"/>
        <w:jc w:val="both"/>
        <w:rPr/>
      </w:pPr>
      <w:r>
        <w:rPr>
          <w:rFonts w:ascii="Calibri;sans-serif" w:hAnsi="Calibri;sans-serif"/>
          <w:b w:val="false"/>
          <w:i w:val="false"/>
          <w:caps w:val="false"/>
          <w:smallCaps w:val="false"/>
          <w:strike w:val="false"/>
          <w:dstrike w:val="false"/>
          <w:color w:val="000000"/>
          <w:sz w:val="22"/>
          <w:u w:val="none"/>
          <w:effect w:val="none"/>
        </w:rPr>
        <w:t>Además, aquellos alumnos con la evaluación aprobada, también podrán realizar dicha recuperación para mejorar su calificación en la evaluación.</w:t>
      </w:r>
    </w:p>
    <w:p>
      <w:pPr>
        <w:pStyle w:val="Cuerpodetexto"/>
        <w:bidi w:val="0"/>
        <w:spacing w:lineRule="auto" w:line="288" w:before="0" w:after="0"/>
        <w:ind w:left="283" w:right="0" w:hanging="0"/>
        <w:jc w:val="both"/>
        <w:rPr/>
      </w:pPr>
      <w:r>
        <w:rPr>
          <w:rFonts w:ascii="Calibri;sans-serif" w:hAnsi="Calibri;sans-serif"/>
          <w:b w:val="false"/>
          <w:i w:val="false"/>
          <w:caps w:val="false"/>
          <w:smallCaps w:val="false"/>
          <w:strike w:val="false"/>
          <w:dstrike w:val="false"/>
          <w:color w:val="000000"/>
          <w:sz w:val="22"/>
          <w:u w:val="none"/>
          <w:effect w:val="none"/>
        </w:rPr>
        <w:t>La nota obtenida en esta recuperación sustituirá a la obtenida en la evaluación, a la hora de calcular la nota final.</w:t>
      </w:r>
    </w:p>
    <w:p>
      <w:pPr>
        <w:pStyle w:val="Cuerpodetexto"/>
        <w:rPr/>
      </w:pPr>
      <w:r>
        <w:rPr/>
      </w:r>
    </w:p>
    <w:p>
      <w:pPr>
        <w:pStyle w:val="Cuerpodetexto"/>
        <w:numPr>
          <w:ilvl w:val="0"/>
          <w:numId w:val="13"/>
        </w:numPr>
        <w:tabs>
          <w:tab w:val="clear" w:pos="720"/>
          <w:tab w:val="left" w:pos="0" w:leader="none"/>
        </w:tabs>
        <w:bidi w:val="0"/>
        <w:spacing w:lineRule="auto" w:line="288" w:before="0" w:after="0"/>
        <w:ind w:left="707" w:right="0" w:hanging="283"/>
        <w:jc w:val="both"/>
        <w:rPr/>
      </w:pPr>
      <w:r>
        <w:rPr>
          <w:rFonts w:ascii="Calibri;sans-serif" w:hAnsi="Calibri;sans-serif"/>
          <w:b w:val="false"/>
          <w:i w:val="false"/>
          <w:caps w:val="false"/>
          <w:smallCaps w:val="false"/>
          <w:strike w:val="false"/>
          <w:dstrike w:val="false"/>
          <w:color w:val="000000"/>
          <w:sz w:val="22"/>
          <w:u w:val="none"/>
          <w:effect w:val="none"/>
        </w:rPr>
        <w:t>Para obtener la nota final de la materia en la evaluación ordinaria, y dado que tenemos tres evaluaciones, tendremos que tener en cuenta las siguientes consideraciones:</w:t>
      </w:r>
    </w:p>
    <w:p>
      <w:pPr>
        <w:pStyle w:val="Cuerpodetexto"/>
        <w:bidi w:val="0"/>
        <w:spacing w:lineRule="auto" w:line="288" w:before="0" w:after="0"/>
        <w:ind w:left="283" w:right="0" w:hanging="0"/>
        <w:jc w:val="both"/>
        <w:rPr/>
      </w:pPr>
      <w:r>
        <w:rPr>
          <w:rFonts w:ascii="Calibri;sans-serif" w:hAnsi="Calibri;sans-serif"/>
          <w:b w:val="false"/>
          <w:i w:val="false"/>
          <w:caps w:val="false"/>
          <w:smallCaps w:val="false"/>
          <w:strike w:val="false"/>
          <w:dstrike w:val="false"/>
          <w:color w:val="000000"/>
          <w:sz w:val="22"/>
          <w:u w:val="none"/>
          <w:effect w:val="none"/>
        </w:rPr>
        <w:t>Si todas las evaluaciones tienen una nota superior o igual a 5, la nota final será el promedio de las tres notas de las evaluaciones.</w:t>
      </w:r>
    </w:p>
    <w:p>
      <w:pPr>
        <w:pStyle w:val="Cuerpodetexto"/>
        <w:bidi w:val="0"/>
        <w:spacing w:lineRule="auto" w:line="288" w:before="0" w:after="0"/>
        <w:ind w:left="283" w:right="0" w:hanging="0"/>
        <w:jc w:val="both"/>
        <w:rPr/>
      </w:pPr>
      <w:r>
        <w:rPr>
          <w:rFonts w:ascii="Calibri;sans-serif" w:hAnsi="Calibri;sans-serif"/>
          <w:b w:val="false"/>
          <w:i w:val="false"/>
          <w:caps w:val="false"/>
          <w:smallCaps w:val="false"/>
          <w:strike w:val="false"/>
          <w:dstrike w:val="false"/>
          <w:color w:val="000000"/>
          <w:sz w:val="22"/>
          <w:u w:val="none"/>
          <w:effect w:val="none"/>
        </w:rPr>
        <w:t>Si solo hay una evaluación con una nota inferior a 5 pero superior a 4, también se hará el promedio. Si éste es igual o superior a 5, el promedio será la nota final; en cambio, si es inferior a 5, el alumno tendrá que realizar el examen de recuperación final de junio.</w:t>
      </w:r>
    </w:p>
    <w:p>
      <w:pPr>
        <w:pStyle w:val="Cuerpodetexto"/>
        <w:bidi w:val="0"/>
        <w:spacing w:lineRule="auto" w:line="288" w:before="0" w:after="0"/>
        <w:ind w:left="283" w:right="0" w:hanging="0"/>
        <w:jc w:val="both"/>
        <w:rPr/>
      </w:pPr>
      <w:r>
        <w:rPr>
          <w:rFonts w:ascii="Calibri;sans-serif" w:hAnsi="Calibri;sans-serif"/>
          <w:b w:val="false"/>
          <w:i w:val="false"/>
          <w:caps w:val="false"/>
          <w:smallCaps w:val="false"/>
          <w:strike w:val="false"/>
          <w:dstrike w:val="false"/>
          <w:color w:val="000000"/>
          <w:sz w:val="22"/>
          <w:u w:val="none"/>
          <w:effect w:val="none"/>
        </w:rPr>
        <w:t>Si hay dos o tres evaluaciones con nota inferior a 5, tendrá que ir al examen de recuperación final de curso.</w:t>
      </w:r>
    </w:p>
    <w:p>
      <w:pPr>
        <w:pStyle w:val="Cuerpodetexto"/>
        <w:rPr/>
      </w:pPr>
      <w:r>
        <w:rPr/>
      </w:r>
    </w:p>
    <w:p>
      <w:pPr>
        <w:pStyle w:val="Cuerpodetexto"/>
        <w:numPr>
          <w:ilvl w:val="0"/>
          <w:numId w:val="14"/>
        </w:numPr>
        <w:tabs>
          <w:tab w:val="clear" w:pos="720"/>
          <w:tab w:val="left" w:pos="0" w:leader="none"/>
        </w:tabs>
        <w:bidi w:val="0"/>
        <w:spacing w:lineRule="auto" w:line="288" w:before="0" w:after="0"/>
        <w:ind w:left="707" w:right="0" w:hanging="283"/>
        <w:jc w:val="both"/>
        <w:rPr/>
      </w:pPr>
      <w:r>
        <w:rPr>
          <w:rFonts w:ascii="Calibri;sans-serif" w:hAnsi="Calibri;sans-serif"/>
          <w:b w:val="false"/>
          <w:i w:val="false"/>
          <w:caps w:val="false"/>
          <w:smallCaps w:val="false"/>
          <w:strike w:val="false"/>
          <w:dstrike w:val="false"/>
          <w:color w:val="000000"/>
          <w:sz w:val="22"/>
          <w:u w:val="none"/>
          <w:effect w:val="none"/>
        </w:rPr>
        <w:t>En los últimos días de curso, se realizará una recuperación final previa a la evaluación final ordinaria. Los alumnos que tengan alguna evaluación suspendida y que no puedan obtener una calificación final de aprobado según el punto anterior, podrán examinarse sólo de la evaluación o evaluaciones que tengan suspendidas.</w:t>
      </w:r>
    </w:p>
    <w:p>
      <w:pPr>
        <w:pStyle w:val="Cuerpodetexto"/>
        <w:rPr/>
      </w:pPr>
      <w:r>
        <w:rPr/>
      </w:r>
    </w:p>
    <w:p>
      <w:pPr>
        <w:pStyle w:val="Cuerpodetexto"/>
        <w:numPr>
          <w:ilvl w:val="0"/>
          <w:numId w:val="15"/>
        </w:numPr>
        <w:tabs>
          <w:tab w:val="clear" w:pos="720"/>
          <w:tab w:val="left" w:pos="0" w:leader="none"/>
        </w:tabs>
        <w:bidi w:val="0"/>
        <w:spacing w:lineRule="auto" w:line="288" w:before="0" w:after="0"/>
        <w:ind w:left="707" w:right="0" w:hanging="283"/>
        <w:jc w:val="both"/>
        <w:rPr/>
      </w:pPr>
      <w:r>
        <w:rPr>
          <w:rFonts w:ascii="Calibri;sans-serif" w:hAnsi="Calibri;sans-serif"/>
          <w:b w:val="false"/>
          <w:i w:val="false"/>
          <w:caps w:val="false"/>
          <w:smallCaps w:val="false"/>
          <w:strike w:val="false"/>
          <w:dstrike w:val="false"/>
          <w:color w:val="000000"/>
          <w:sz w:val="22"/>
          <w:u w:val="none"/>
          <w:effect w:val="none"/>
        </w:rPr>
        <w:t>La nota de la materia en la evaluación final ordinaria se obtendrá realizando la media de las obtenidas en las tres evaluaciones (o la que haya obtenido tras realizar las recuperaciones).</w:t>
      </w:r>
    </w:p>
    <w:p>
      <w:pPr>
        <w:pStyle w:val="Cuerpodetexto"/>
        <w:rPr/>
      </w:pPr>
      <w:r>
        <w:rPr/>
      </w:r>
    </w:p>
    <w:p>
      <w:pPr>
        <w:pStyle w:val="Cuerpodetexto"/>
        <w:bidi w:val="0"/>
        <w:spacing w:lineRule="auto" w:line="288" w:before="0" w:after="0"/>
        <w:rPr/>
      </w:pPr>
      <w:r>
        <w:rPr>
          <w:rFonts w:ascii="Calibri;sans-serif" w:hAnsi="Calibri;sans-serif"/>
          <w:b w:val="false"/>
          <w:i w:val="false"/>
          <w:caps w:val="false"/>
          <w:smallCaps w:val="false"/>
          <w:strike w:val="false"/>
          <w:dstrike w:val="false"/>
          <w:color w:val="auto"/>
          <w:sz w:val="22"/>
          <w:u w:val="none"/>
          <w:effect w:val="none"/>
        </w:rPr>
        <w:t>Los exámenes se diseñan  de tal forma que el 80% se reparta entre las competencias específicas 1, 2 y 3.1 y 3.2 como se indica en este cuadro</w:t>
      </w:r>
    </w:p>
    <w:p>
      <w:pPr>
        <w:pStyle w:val="Cuerpodetexto"/>
        <w:rPr/>
      </w:pPr>
      <w:r>
        <w:rPr/>
      </w:r>
    </w:p>
    <w:p>
      <w:pPr>
        <w:pStyle w:val="Cuerpodetexto"/>
        <w:bidi w:val="0"/>
        <w:spacing w:lineRule="auto" w:line="288" w:before="0" w:after="0"/>
        <w:rPr/>
      </w:pPr>
      <w:r>
        <w:rPr>
          <w:caps w:val="false"/>
          <w:smallCaps w:val="false"/>
          <w:strike w:val="false"/>
          <w:dstrike w:val="false"/>
          <w:color w:val="EE0000"/>
          <w:u w:val="none"/>
          <w:effect w:val="none"/>
        </w:rPr>
        <w:t> </w:t>
      </w:r>
      <w:r>
        <w:rPr>
          <w:rFonts w:ascii="Calibri;sans-serif" w:hAnsi="Calibri;sans-serif"/>
          <w:b w:val="false"/>
          <w:i w:val="false"/>
          <w:caps w:val="false"/>
          <w:smallCaps w:val="false"/>
          <w:strike w:val="false"/>
          <w:dstrike w:val="false"/>
          <w:color w:val="auto"/>
          <w:sz w:val="22"/>
          <w:u w:val="none"/>
          <w:effect w:val="none"/>
        </w:rPr>
        <w:t xml:space="preserve">Las actividades que suponen el 20% estarán diseñadas para cumplir el reparto entre las competencias 3.3, 4, 5 y 6 como se indica en este cuadro. </w:t>
      </w:r>
      <w:r>
        <w:rPr>
          <w:rFonts w:ascii="Calibri;sans-serif" w:hAnsi="Calibri;sans-serif"/>
          <w:b w:val="false"/>
          <w:i w:val="false"/>
          <w:caps w:val="false"/>
          <w:smallCaps w:val="false"/>
          <w:strike w:val="false"/>
          <w:dstrike w:val="false"/>
          <w:color w:val="EE0000"/>
          <w:sz w:val="22"/>
          <w:u w:val="none"/>
          <w:effect w:val="none"/>
        </w:rPr>
        <w:t>. </w:t>
      </w:r>
    </w:p>
    <w:p>
      <w:pPr>
        <w:pStyle w:val="Cuerpodetexto"/>
        <w:spacing w:before="0" w:after="0"/>
        <w:rPr/>
      </w:pPr>
      <w:r>
        <w:rPr/>
      </w:r>
    </w:p>
    <w:tbl>
      <w:tblPr>
        <w:tblW w:w="8504" w:type="dxa"/>
        <w:jc w:val="left"/>
        <w:tblInd w:w="0" w:type="dxa"/>
        <w:tblCellMar>
          <w:top w:w="100" w:type="dxa"/>
          <w:left w:w="100" w:type="dxa"/>
          <w:bottom w:w="100" w:type="dxa"/>
          <w:right w:w="100" w:type="dxa"/>
        </w:tblCellMar>
      </w:tblPr>
      <w:tblGrid>
        <w:gridCol w:w="1971"/>
        <w:gridCol w:w="741"/>
        <w:gridCol w:w="2480"/>
        <w:gridCol w:w="3311"/>
      </w:tblGrid>
      <w:tr>
        <w:trPr/>
        <w:tc>
          <w:tcPr>
            <w:tcW w:w="197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COMPETENCIAS ESPECÍFICAS</w:t>
            </w:r>
          </w:p>
        </w:tc>
        <w:tc>
          <w:tcPr>
            <w:tcW w:w="74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rPr/>
            </w:pPr>
            <w:r>
              <w:rPr>
                <w:rFonts w:ascii="Calibri;sans-serif" w:hAnsi="Calibri;sans-serif"/>
                <w:b/>
                <w:i w:val="false"/>
                <w:caps w:val="false"/>
                <w:smallCaps w:val="false"/>
                <w:strike w:val="false"/>
                <w:dstrike w:val="false"/>
                <w:color w:val="000000"/>
                <w:sz w:val="22"/>
                <w:u w:val="none"/>
                <w:effect w:val="none"/>
              </w:rPr>
              <w:t>CRITERIOS DE EVALUACIÓN</w:t>
            </w:r>
          </w:p>
        </w:tc>
        <w:tc>
          <w:tcPr>
            <w:tcW w:w="331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INSTRUMENTOS DE EVALUACIÓN</w:t>
            </w:r>
          </w:p>
        </w:tc>
      </w:tr>
      <w:tr>
        <w:trPr/>
        <w:tc>
          <w:tcPr>
            <w:tcW w:w="197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1.</w:t>
            </w:r>
          </w:p>
        </w:tc>
        <w:tc>
          <w:tcPr>
            <w:tcW w:w="74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35%</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1.1</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1.3 </w:t>
            </w:r>
          </w:p>
        </w:tc>
        <w:tc>
          <w:tcPr>
            <w:tcW w:w="331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7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FQ.2</w:t>
            </w:r>
          </w:p>
        </w:tc>
        <w:tc>
          <w:tcPr>
            <w:tcW w:w="74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28%</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2.3.</w:t>
            </w:r>
          </w:p>
        </w:tc>
        <w:tc>
          <w:tcPr>
            <w:tcW w:w="331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7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FQ.3.</w:t>
            </w:r>
          </w:p>
        </w:tc>
        <w:tc>
          <w:tcPr>
            <w:tcW w:w="74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23%</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3.1. y3.2.  17% </w:t>
            </w:r>
          </w:p>
          <w:p>
            <w:pPr>
              <w:pStyle w:val="Contenidodelatabla"/>
              <w:bidi w:val="0"/>
              <w:spacing w:lineRule="auto" w:line="288" w:before="0" w:after="0"/>
              <w:rPr/>
            </w:pPr>
            <w:r>
              <w:rPr>
                <w:rFonts w:ascii="Calibri;sans-serif" w:hAnsi="Calibri;sans-serif"/>
                <w:b w:val="false"/>
                <w:i w:val="false"/>
                <w:caps w:val="false"/>
                <w:smallCaps w:val="false"/>
                <w:strike w:val="false"/>
                <w:dstrike w:val="false"/>
                <w:color w:val="000000"/>
                <w:sz w:val="22"/>
                <w:u w:val="none"/>
                <w:effect w:val="none"/>
              </w:rPr>
              <w:t>3.3                6%</w:t>
            </w:r>
          </w:p>
        </w:tc>
        <w:tc>
          <w:tcPr>
            <w:tcW w:w="331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 3.1 y 3.2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EJERCICIOS DE CLASE, Y CASA 3.3 </w:t>
            </w:r>
          </w:p>
          <w:p>
            <w:pPr>
              <w:pStyle w:val="Contenidodelatabla"/>
              <w:bidi w:val="0"/>
              <w:spacing w:lineRule="auto" w:line="288" w:before="0" w:after="0"/>
              <w:jc w:val="both"/>
              <w:rPr/>
            </w:pPr>
            <w:r>
              <w:rPr>
                <w:caps w:val="false"/>
                <w:smallCaps w:val="false"/>
                <w:strike w:val="false"/>
                <w:dstrike w:val="false"/>
                <w:color w:val="000000"/>
                <w:u w:val="none"/>
                <w:effect w:val="none"/>
              </w:rPr>
              <w:t> </w:t>
            </w:r>
            <w:r>
              <w:rPr>
                <w:rFonts w:ascii="Calibri;sans-serif" w:hAnsi="Calibri;sans-serif"/>
                <w:b w:val="false"/>
                <w:i w:val="false"/>
                <w:caps w:val="false"/>
                <w:smallCaps w:val="false"/>
                <w:strike w:val="false"/>
                <w:dstrike w:val="false"/>
                <w:color w:val="000000"/>
                <w:sz w:val="22"/>
                <w:u w:val="none"/>
                <w:effect w:val="none"/>
              </w:rPr>
              <w:t>INFORMES DE LABORATORIO 3.3 </w:t>
            </w:r>
          </w:p>
        </w:tc>
      </w:tr>
      <w:tr>
        <w:trPr/>
        <w:tc>
          <w:tcPr>
            <w:tcW w:w="197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FQ.4.</w:t>
            </w:r>
          </w:p>
        </w:tc>
        <w:tc>
          <w:tcPr>
            <w:tcW w:w="74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4.2 </w:t>
            </w:r>
          </w:p>
        </w:tc>
        <w:tc>
          <w:tcPr>
            <w:tcW w:w="331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ACTIVIDADES DE MANEJO DE LA INFORMACIÓN</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tc>
      </w:tr>
      <w:tr>
        <w:trPr/>
        <w:tc>
          <w:tcPr>
            <w:tcW w:w="197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5</w:t>
            </w:r>
          </w:p>
        </w:tc>
        <w:tc>
          <w:tcPr>
            <w:tcW w:w="74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5.2</w:t>
            </w:r>
          </w:p>
        </w:tc>
        <w:tc>
          <w:tcPr>
            <w:tcW w:w="331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 </w:t>
            </w:r>
          </w:p>
        </w:tc>
      </w:tr>
      <w:tr>
        <w:trPr/>
        <w:tc>
          <w:tcPr>
            <w:tcW w:w="197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FQ.6.</w:t>
            </w:r>
          </w:p>
        </w:tc>
        <w:tc>
          <w:tcPr>
            <w:tcW w:w="74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6.2</w:t>
            </w:r>
          </w:p>
        </w:tc>
        <w:tc>
          <w:tcPr>
            <w:tcW w:w="331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 </w:t>
            </w:r>
          </w:p>
        </w:tc>
      </w:tr>
    </w:tbl>
    <w:p>
      <w:pPr>
        <w:pStyle w:val="Cuerpodetexto"/>
        <w:rPr/>
      </w:pPr>
      <w:r>
        <w:rPr>
          <w:b w:val="false"/>
        </w:rPr>
        <w:br/>
      </w:r>
    </w:p>
    <w:p>
      <w:pPr>
        <w:pStyle w:val="Normal"/>
        <w:jc w:val="both"/>
        <w:rPr/>
      </w:pPr>
      <w:r>
        <w:rPr>
          <w:rFonts w:eastAsia="Cambria"/>
          <w:b/>
          <w:sz w:val="22"/>
          <w:szCs w:val="22"/>
          <w:u w:val="single"/>
        </w:rPr>
        <w:t>5. EVALUACIÓN INICIAL</w:t>
      </w:r>
    </w:p>
    <w:p>
      <w:pPr>
        <w:pStyle w:val="Normal"/>
        <w:tabs>
          <w:tab w:val="clear" w:pos="720"/>
          <w:tab w:val="left" w:pos="284" w:leader="none"/>
        </w:tabs>
        <w:ind w:firstLine="284"/>
        <w:jc w:val="both"/>
        <w:rPr/>
      </w:pPr>
      <w:r>
        <w:rPr>
          <w:sz w:val="22"/>
          <w:szCs w:val="22"/>
        </w:rPr>
        <w:t>El proceso de enseñanza y del aprendizaje de alumnos y alumnas se dirige hacia el logro de una serie de objetivos, lo que implica partir de un "estado inicial" (que debe conocerse) sobre el que se irán operando los cambios producidos por el proceso enseñanza-aprendizaje.</w:t>
      </w:r>
    </w:p>
    <w:p>
      <w:pPr>
        <w:pStyle w:val="Normal"/>
        <w:tabs>
          <w:tab w:val="clear" w:pos="720"/>
          <w:tab w:val="left" w:pos="284" w:leader="none"/>
        </w:tabs>
        <w:ind w:firstLine="284"/>
        <w:jc w:val="both"/>
        <w:rPr/>
      </w:pPr>
      <w:r>
        <w:rPr>
          <w:sz w:val="22"/>
          <w:szCs w:val="22"/>
        </w:rPr>
        <w:t>El conocimiento de los niveles, características y necesidades de los alumnos nos permitirán tomar una serie de decisiones relativas a:</w:t>
      </w:r>
    </w:p>
    <w:p>
      <w:pPr>
        <w:pStyle w:val="Normal"/>
        <w:numPr>
          <w:ilvl w:val="0"/>
          <w:numId w:val="2"/>
        </w:numPr>
        <w:tabs>
          <w:tab w:val="clear" w:pos="720"/>
          <w:tab w:val="left" w:pos="284" w:leader="none"/>
        </w:tabs>
        <w:spacing w:before="0" w:after="0"/>
        <w:ind w:left="284" w:hanging="0"/>
        <w:jc w:val="both"/>
        <w:rPr/>
      </w:pPr>
      <w:r>
        <w:rPr>
          <w:sz w:val="22"/>
          <w:szCs w:val="22"/>
        </w:rPr>
        <w:t>planificar y programar las actividades docentes.</w:t>
      </w:r>
    </w:p>
    <w:p>
      <w:pPr>
        <w:pStyle w:val="Normal"/>
        <w:numPr>
          <w:ilvl w:val="0"/>
          <w:numId w:val="2"/>
        </w:numPr>
        <w:tabs>
          <w:tab w:val="clear" w:pos="720"/>
          <w:tab w:val="left" w:pos="284" w:leader="none"/>
        </w:tabs>
        <w:spacing w:before="0" w:after="0"/>
        <w:ind w:left="284" w:hanging="0"/>
        <w:jc w:val="both"/>
        <w:rPr/>
      </w:pPr>
      <w:r>
        <w:rPr>
          <w:sz w:val="22"/>
          <w:szCs w:val="22"/>
        </w:rPr>
        <w:t>adoptar medidas de atención a la diversidad en el aula.</w:t>
      </w:r>
    </w:p>
    <w:p>
      <w:pPr>
        <w:pStyle w:val="Normal"/>
        <w:numPr>
          <w:ilvl w:val="0"/>
          <w:numId w:val="2"/>
        </w:numPr>
        <w:tabs>
          <w:tab w:val="clear" w:pos="720"/>
          <w:tab w:val="left" w:pos="284" w:leader="none"/>
        </w:tabs>
        <w:ind w:left="284" w:hanging="0"/>
        <w:jc w:val="both"/>
        <w:rPr/>
      </w:pPr>
      <w:r>
        <w:rPr>
          <w:sz w:val="22"/>
          <w:szCs w:val="22"/>
        </w:rPr>
        <w:t>metodologías a emplear.</w:t>
      </w:r>
    </w:p>
    <w:p>
      <w:pPr>
        <w:pStyle w:val="Normal"/>
        <w:tabs>
          <w:tab w:val="clear" w:pos="720"/>
          <w:tab w:val="left" w:pos="284" w:leader="none"/>
        </w:tabs>
        <w:ind w:firstLine="284"/>
        <w:jc w:val="both"/>
        <w:rPr/>
      </w:pPr>
      <w:r>
        <w:rPr>
          <w:sz w:val="22"/>
          <w:szCs w:val="22"/>
        </w:rPr>
        <w:t>El proceso de evaluación inicial exige que se atienda más a los posibles recursos y capacidades de los alumnos que a las posibles deficiencias que presenten, aunque sin olvidar éstas.</w:t>
      </w:r>
    </w:p>
    <w:p>
      <w:pPr>
        <w:pStyle w:val="Normal"/>
        <w:tabs>
          <w:tab w:val="clear" w:pos="720"/>
          <w:tab w:val="left" w:pos="284" w:leader="none"/>
        </w:tabs>
        <w:ind w:firstLine="284"/>
        <w:jc w:val="both"/>
        <w:rPr/>
      </w:pPr>
      <w:r>
        <w:rPr>
          <w:rFonts w:cs="Calibri" w:cstheme="minorHAnsi"/>
          <w:sz w:val="22"/>
          <w:szCs w:val="22"/>
        </w:rPr>
        <w:t>Desde este supuesto lo primero que conviene explorar y conocer son las actitudes de los alumnos frente a los contenidos de la materia. El conocimiento de estas actitudes proporcionará datos valiosos para organizar unas actividades que fomenten la "motivación por aprender" en los alumnos/as. Esta información se recogerá a partir de la observación de los intereses del alumnado durante los primeros días del curso por parte del docente.</w:t>
      </w:r>
    </w:p>
    <w:p>
      <w:pPr>
        <w:pStyle w:val="Normal"/>
        <w:tabs>
          <w:tab w:val="clear" w:pos="720"/>
          <w:tab w:val="left" w:pos="284" w:leader="none"/>
        </w:tabs>
        <w:ind w:firstLine="284"/>
        <w:jc w:val="both"/>
        <w:rPr/>
      </w:pPr>
      <w:r>
        <w:rPr>
          <w:rFonts w:cs="Calibri" w:cstheme="minorHAnsi"/>
          <w:sz w:val="22"/>
          <w:szCs w:val="22"/>
        </w:rPr>
        <w:t xml:space="preserve">En segundo lugar, interesa conocer el grado de dominio de cada alumno/a de los contenidos relacionados con la materia de cursos anteriores. En este sentido, el instrumento principal para la recogida de información de cara a la evaluación inicial será una prueba escrita que haga referencia principalmente a los contenidos de 3º de ESO (Física y Química), aunque también aparecen algunos de las materias de Matemáticas de 2º y 3º de ESO. </w:t>
      </w:r>
    </w:p>
    <w:p>
      <w:pPr>
        <w:pStyle w:val="Normal"/>
        <w:tabs>
          <w:tab w:val="clear" w:pos="720"/>
          <w:tab w:val="left" w:pos="284" w:leader="none"/>
        </w:tabs>
        <w:ind w:firstLine="284"/>
        <w:jc w:val="both"/>
        <w:rPr/>
      </w:pPr>
      <w:r>
        <w:rPr>
          <w:sz w:val="22"/>
          <w:szCs w:val="22"/>
        </w:rPr>
        <w:t xml:space="preserve"> </w:t>
      </w:r>
      <w:r>
        <w:rPr>
          <w:sz w:val="22"/>
          <w:szCs w:val="22"/>
        </w:rPr>
        <w:t>Esta prueba no tiene una finalidad clasificadora del alumnado, pero puede servir para la detección temprana de problemas y dificultades de aprendizaje en algunos alumnos/as.</w:t>
      </w:r>
    </w:p>
    <w:p>
      <w:pPr>
        <w:pStyle w:val="Normal"/>
        <w:tabs>
          <w:tab w:val="clear" w:pos="720"/>
          <w:tab w:val="left" w:pos="284" w:leader="none"/>
        </w:tabs>
        <w:ind w:firstLine="284"/>
        <w:jc w:val="both"/>
        <w:rPr/>
      </w:pPr>
      <w:r>
        <w:rPr>
          <w:sz w:val="22"/>
          <w:szCs w:val="22"/>
        </w:rPr>
        <w:t xml:space="preserve">Asimismo, es importante disponer de la información acumulada sobre el alumno/a a lo largo de su escolarización en el instituto, pudiéndose obtener de esta manera datos muy valiosos para la optimización del proceso enseñanza-aprendizaje. </w:t>
      </w:r>
    </w:p>
    <w:p>
      <w:pPr>
        <w:pStyle w:val="Normal"/>
        <w:tabs>
          <w:tab w:val="clear" w:pos="720"/>
          <w:tab w:val="left" w:pos="284" w:leader="none"/>
        </w:tabs>
        <w:ind w:firstLine="284"/>
        <w:jc w:val="both"/>
        <w:rPr/>
      </w:pPr>
      <w:r>
        <w:rPr>
          <w:sz w:val="22"/>
          <w:szCs w:val="22"/>
        </w:rPr>
        <w:t>En función de los datos que se obtengan de las diferentes fuentes de información indicadas se realizarán las siguientes acciones:</w:t>
      </w:r>
    </w:p>
    <w:p>
      <w:pPr>
        <w:pStyle w:val="Normal"/>
        <w:tabs>
          <w:tab w:val="clear" w:pos="720"/>
          <w:tab w:val="left" w:pos="284" w:leader="none"/>
        </w:tabs>
        <w:ind w:firstLine="567"/>
        <w:jc w:val="both"/>
        <w:rPr/>
      </w:pPr>
      <w:r>
        <w:rPr>
          <w:sz w:val="22"/>
          <w:szCs w:val="22"/>
        </w:rPr>
        <w:t>- Se establecerá el punto de partida del proceso de enseñanza-aprendizaje.</w:t>
      </w:r>
    </w:p>
    <w:p>
      <w:pPr>
        <w:pStyle w:val="Normal"/>
        <w:tabs>
          <w:tab w:val="clear" w:pos="720"/>
          <w:tab w:val="left" w:pos="284" w:leader="none"/>
        </w:tabs>
        <w:ind w:firstLine="567"/>
        <w:jc w:val="both"/>
        <w:rPr/>
      </w:pPr>
      <w:r>
        <w:rPr>
          <w:sz w:val="22"/>
          <w:szCs w:val="22"/>
        </w:rPr>
        <w:t xml:space="preserve"> </w:t>
      </w:r>
      <w:r>
        <w:rPr>
          <w:sz w:val="22"/>
          <w:szCs w:val="22"/>
        </w:rPr>
        <w:t>- Se adecuará el proceso de enseñanza a las características de los alumnos (tanto a nivel grupal como individual), diseñando las actividades de refuerzo para aquellos alumnos que lo necesiten.</w:t>
      </w:r>
    </w:p>
    <w:p>
      <w:pPr>
        <w:pStyle w:val="Normal"/>
        <w:tabs>
          <w:tab w:val="clear" w:pos="720"/>
          <w:tab w:val="left" w:pos="284" w:leader="none"/>
        </w:tabs>
        <w:ind w:firstLine="567"/>
        <w:jc w:val="both"/>
        <w:rPr/>
      </w:pPr>
      <w:r>
        <w:rPr>
          <w:sz w:val="22"/>
          <w:szCs w:val="22"/>
        </w:rPr>
        <w:t>- Se elaborarán las adaptaciones no significativas que sean precisas en colaboración con el departamento de Orientación.</w:t>
      </w:r>
    </w:p>
    <w:p>
      <w:pPr>
        <w:pStyle w:val="Normal"/>
        <w:tabs>
          <w:tab w:val="clear" w:pos="720"/>
          <w:tab w:val="left" w:pos="284" w:leader="none"/>
        </w:tabs>
        <w:ind w:firstLine="567"/>
        <w:jc w:val="both"/>
        <w:rPr/>
      </w:pPr>
      <w:r>
        <w:rPr>
          <w:sz w:val="22"/>
          <w:szCs w:val="22"/>
        </w:rPr>
        <w:t xml:space="preserve">- Se diseñará la metodología adecuada a la realidad y a los focos de interés de los alumnos/as del grupo. </w:t>
      </w:r>
    </w:p>
    <w:p>
      <w:pPr>
        <w:pStyle w:val="Normal"/>
        <w:jc w:val="both"/>
        <w:rPr/>
      </w:pPr>
      <w:r>
        <w:rPr>
          <w:rFonts w:eastAsia="Cambria" w:cs="Calibri" w:cstheme="minorHAnsi"/>
          <w:b/>
          <w:sz w:val="22"/>
          <w:szCs w:val="22"/>
          <w:u w:val="single"/>
        </w:rPr>
        <w:t xml:space="preserve">6. ACTUACIONES GENERALES DE ATENCIÓN A LAS DIFERENCIAS INDIVIDUALES Y ADAPTACIONES CURRICULARES </w:t>
      </w:r>
    </w:p>
    <w:p>
      <w:pPr>
        <w:pStyle w:val="Normal"/>
        <w:jc w:val="both"/>
        <w:rPr/>
      </w:pPr>
      <w:r>
        <w:rPr>
          <w:rFonts w:eastAsia="Cambria" w:cs="Calibri" w:cstheme="minorHAnsi"/>
          <w:sz w:val="22"/>
          <w:szCs w:val="22"/>
        </w:rPr>
        <w:t xml:space="preserve">La </w:t>
      </w:r>
      <w:r>
        <w:rPr>
          <w:rFonts w:cs="Calibri" w:cstheme="minorHAnsi"/>
          <w:bCs/>
          <w:sz w:val="22"/>
          <w:szCs w:val="22"/>
        </w:rPr>
        <w:t xml:space="preserve">Orden ECD/1172/2022 establece en su Artículo 36 que: </w:t>
      </w:r>
    </w:p>
    <w:p>
      <w:pPr>
        <w:pStyle w:val="Normal"/>
        <w:jc w:val="both"/>
        <w:rPr/>
      </w:pPr>
      <w:r>
        <w:rPr>
          <w:rFonts w:cs="Calibri" w:cstheme="minorHAnsi"/>
          <w:i/>
          <w:sz w:val="22"/>
          <w:szCs w:val="22"/>
        </w:rPr>
        <w:t>1. La Educación Secundaria Obligatoria se organizará de acuerdo con los principios de educación común y de atención a la diversidad del alumnado. Con objeto de reforzar la inclusión y asegurar el derecho a una educación de calidad, en esta etapa se pondrá especial énfasis en la atención individualizada a los alumnos y a las alumnas, en la detección precoz de sus necesidades específicas y en el establecimiento de mecanismos de apoyo y refuerzo para evitar la permanencia en un mismo curso, particularmente en entornos socialmente vulnerables y teniendo en cuenta sus circunstancias y sus diferentes ritmos de aprendizaje.</w:t>
      </w:r>
    </w:p>
    <w:p>
      <w:pPr>
        <w:pStyle w:val="Normal"/>
        <w:ind w:firstLine="397"/>
        <w:jc w:val="both"/>
        <w:rPr/>
      </w:pPr>
      <w:r>
        <w:rPr>
          <w:rFonts w:cs="Calibri" w:cstheme="minorHAnsi"/>
          <w:sz w:val="22"/>
          <w:szCs w:val="22"/>
        </w:rPr>
        <w:t xml:space="preserve">De forma que en cualquier caso se debe garantizar que todos los alumnos/as de cada grupo alcancen el máximo desarrollo posible de sus capacidades, utilizando para ello los medios que sean necesarios. En la materia de Física y Química en 4º de ESO se llevarán a cabo las siguientes estrategias para atender a la diversidad del alumnado: </w:t>
      </w:r>
    </w:p>
    <w:p>
      <w:pPr>
        <w:pStyle w:val="Normal"/>
        <w:numPr>
          <w:ilvl w:val="0"/>
          <w:numId w:val="3"/>
        </w:numPr>
        <w:jc w:val="both"/>
        <w:rPr/>
      </w:pPr>
      <w:r>
        <w:rPr>
          <w:rFonts w:cs="Calibri" w:cstheme="minorHAnsi"/>
          <w:sz w:val="22"/>
          <w:szCs w:val="22"/>
        </w:rPr>
        <w:t xml:space="preserve">Atención individualizada a cada alumno/a: el docente atenderá de forma individual a cada alumno/a durante las clases para orientarlo en sus aprendizajes, para resolver sus dudas y para estar al día de sus progresos. </w:t>
      </w:r>
    </w:p>
    <w:p>
      <w:pPr>
        <w:pStyle w:val="Normal"/>
        <w:numPr>
          <w:ilvl w:val="0"/>
          <w:numId w:val="3"/>
        </w:numPr>
        <w:jc w:val="both"/>
        <w:rPr/>
      </w:pPr>
      <w:r>
        <w:rPr>
          <w:rFonts w:cs="Calibri" w:cstheme="minorHAnsi"/>
          <w:sz w:val="22"/>
          <w:szCs w:val="22"/>
        </w:rPr>
        <w:t xml:space="preserve">Actividades de refuerzo: para aquellos alumnos/as que muestren dificultades en la adquisición de nuevos aprendizajes se propondrán actividades que sirvan para afianzar los contenidos mínimos de la materia. En este sentido, también se facilitarán a los alumnos/as hojas con ejercicios/problemas y sus soluciones para que puedan repasar de forma autónoma. </w:t>
      </w:r>
    </w:p>
    <w:p>
      <w:pPr>
        <w:pStyle w:val="Normal"/>
        <w:numPr>
          <w:ilvl w:val="0"/>
          <w:numId w:val="3"/>
        </w:numPr>
        <w:jc w:val="both"/>
        <w:rPr/>
      </w:pPr>
      <w:r>
        <w:rPr>
          <w:sz w:val="22"/>
          <w:szCs w:val="22"/>
        </w:rPr>
        <w:t xml:space="preserve">Actividades de ampliación: serán actividades que impliquen una profundización en los contenidos de la asignatura. Serán de carácter voluntario y su realización podrá implicar un aumento en la calificación de una evaluación de hasta medio punto. </w:t>
      </w:r>
    </w:p>
    <w:p>
      <w:pPr>
        <w:pStyle w:val="Normal"/>
        <w:tabs>
          <w:tab w:val="clear" w:pos="720"/>
          <w:tab w:val="left" w:pos="284" w:leader="none"/>
        </w:tabs>
        <w:ind w:firstLine="284"/>
        <w:jc w:val="both"/>
        <w:rPr/>
      </w:pPr>
      <w:r>
        <w:rPr>
          <w:sz w:val="22"/>
          <w:szCs w:val="22"/>
        </w:rPr>
        <w:t xml:space="preserve">Mientras que en referencia al alumnado con necesidad específica de apoyo educativo en la Orden ECD/1172/2022 se sostiene que: </w:t>
      </w:r>
    </w:p>
    <w:p>
      <w:pPr>
        <w:pStyle w:val="Normal"/>
        <w:tabs>
          <w:tab w:val="clear" w:pos="720"/>
          <w:tab w:val="left" w:pos="284" w:leader="none"/>
        </w:tabs>
        <w:ind w:firstLine="284"/>
        <w:jc w:val="both"/>
        <w:rPr/>
      </w:pPr>
      <w:r>
        <w:rPr>
          <w:i/>
          <w:sz w:val="22"/>
          <w:szCs w:val="22"/>
        </w:rPr>
        <w:t xml:space="preserve">Se adoptarán medidas curriculares y organizativas inclusivas para asegurar que el alumnado con necesidad específica de apoyo educativo pueda alcanzar los objetivos y las competencias de la etapa y el máximo desarrollo de sus capacidades personales. </w:t>
      </w:r>
    </w:p>
    <w:p>
      <w:pPr>
        <w:pStyle w:val="Normal"/>
        <w:tabs>
          <w:tab w:val="clear" w:pos="720"/>
          <w:tab w:val="left" w:pos="284" w:leader="none"/>
        </w:tabs>
        <w:ind w:firstLine="284"/>
        <w:jc w:val="both"/>
        <w:rPr/>
      </w:pPr>
      <w:r>
        <w:rPr>
          <w:sz w:val="22"/>
          <w:szCs w:val="22"/>
        </w:rPr>
        <w:t>Por tanto, para los alumnos ACNEAES se realizarán las adaptaciones que sean necesarias, tanto generales como específicas, de forma coordinada con el Departamento de Orientación del centro.  En el caso de que haya que elaborar actuaciones específicas de intervención educativa (adaptaciones significativas), se adaptarán los contenidos de la materia así como los criterios y los instrumentos de evaluación a la situación académica del alumno/a. En esos casos, tanto el departamento de Física y Química como el departamento de Orientación dispondrán de una copia de la actuación específica de intervención educativa de la materia.</w:t>
      </w:r>
    </w:p>
    <w:p>
      <w:pPr>
        <w:pStyle w:val="Normal"/>
        <w:jc w:val="both"/>
        <w:rPr>
          <w:rFonts w:ascii="Calibri" w:hAnsi="Calibri"/>
          <w:sz w:val="22"/>
          <w:szCs w:val="22"/>
        </w:rPr>
      </w:pPr>
      <w:r>
        <w:rPr>
          <w:sz w:val="22"/>
          <w:szCs w:val="22"/>
        </w:rPr>
      </w:r>
    </w:p>
    <w:p>
      <w:pPr>
        <w:pStyle w:val="Normal"/>
        <w:jc w:val="both"/>
        <w:rPr/>
      </w:pPr>
      <w:r>
        <w:rPr>
          <w:rFonts w:eastAsia="Cambria"/>
          <w:b/>
          <w:sz w:val="22"/>
          <w:szCs w:val="22"/>
          <w:u w:val="single"/>
        </w:rPr>
        <w:t>7. PLAN DE SEGUIMIENTO PARA EL ALUMNADO QUE NO HA PROMOCIONADO</w:t>
      </w:r>
    </w:p>
    <w:p>
      <w:pPr>
        <w:pStyle w:val="Normal"/>
        <w:tabs>
          <w:tab w:val="clear" w:pos="720"/>
          <w:tab w:val="left" w:pos="284" w:leader="none"/>
        </w:tabs>
        <w:ind w:firstLine="284"/>
        <w:jc w:val="both"/>
        <w:rPr/>
      </w:pPr>
      <w:r>
        <w:rPr>
          <w:color w:val="000000"/>
          <w:sz w:val="22"/>
          <w:szCs w:val="22"/>
        </w:rPr>
        <w:t>El profesor/a de la materia prestará especial atención a los alumnos que, habiendo repetido curso, no hubiesen superado la materia de Física y Química en el año anterior. Como punto de inicio se partirá del informe que el profesor del curso anterior hubiese emitido sobre el alumno/a. Se analizarán los criterios de evaluación no superados para tener una primera aproximación a las dificultades mostradas por el alumno. Con estos datos se prepararán actividades de refuerzo para aquellos contenidos en los que el alumno hubiese mostrado más dificultad. Estas actividades se realizarán en el momento del curso en que se traten dichos contenidos, siempre que el interés, la actitud y el compromiso del alumno/a por la materia sean adecuados. Asimismo, se animará a estos alumnos a que manifiesten en qué puntos concretos encuentran una mayor dificultad, poniéndose el profesor/a de la materia a disposición de los alumnos para resolver todas aquellas dudas que les pudiesen surgir.</w:t>
      </w:r>
    </w:p>
    <w:p>
      <w:pPr>
        <w:pStyle w:val="Normal"/>
        <w:jc w:val="both"/>
        <w:rPr>
          <w:rFonts w:ascii="Calibri" w:hAnsi="Calibri" w:eastAsia="Cambria" w:cs="Cambria"/>
          <w:sz w:val="22"/>
          <w:szCs w:val="22"/>
        </w:rPr>
      </w:pPr>
      <w:r>
        <w:rPr>
          <w:rFonts w:eastAsia="Cambria" w:cs="Cambria"/>
          <w:sz w:val="22"/>
          <w:szCs w:val="22"/>
        </w:rPr>
      </w:r>
    </w:p>
    <w:p>
      <w:pPr>
        <w:pStyle w:val="Normal"/>
        <w:keepNext w:val="true"/>
        <w:jc w:val="both"/>
        <w:rPr/>
      </w:pPr>
      <w:r>
        <w:rPr>
          <w:rFonts w:eastAsia="Cambria" w:cs="Calibri" w:cstheme="minorHAnsi"/>
          <w:b/>
          <w:sz w:val="22"/>
          <w:szCs w:val="22"/>
          <w:u w:val="single"/>
        </w:rPr>
        <w:t>8. PLAN DE REFUERZO PARA MATERIAS O ÁMBITOS NO SUPERADOS</w:t>
      </w:r>
    </w:p>
    <w:p>
      <w:pPr>
        <w:pStyle w:val="Normal"/>
        <w:ind w:firstLine="284"/>
        <w:jc w:val="both"/>
        <w:rPr/>
      </w:pPr>
      <w:r>
        <w:rPr>
          <w:rFonts w:eastAsia="Cambria" w:cs="Calibri" w:cstheme="minorHAnsi"/>
          <w:sz w:val="22"/>
          <w:szCs w:val="22"/>
        </w:rPr>
        <w:t>Según lo establecido en el Artículo 20 de la Orden quienes promocionen sin haber superado todas las materias o ámbitos deberán matricularse de las materias o ámbitos no superados y seguirán los planes de refuerzo personalizados que establezcan los departamentos. Los planes de refuerzo personalizados se organizarán para cada alumno o cada alumna teniendo en cuenta las dificultades de aprendizaje que motivaron la no superación de la materia o ámbito. También se afirma en la legislación que p</w:t>
      </w:r>
      <w:r>
        <w:rPr>
          <w:rFonts w:cs="Calibri" w:cstheme="minorHAnsi"/>
          <w:sz w:val="22"/>
          <w:szCs w:val="22"/>
        </w:rPr>
        <w:t>ara la evaluación de las materias o ámbitos no superados se tendrán en cuenta los progresos que el alumnado realice en las actividades del plan de refuerzo personalizado, así como su evolución en las materias o ámbitos correspondientes en el curso siguiente. Además, l</w:t>
      </w:r>
      <w:r>
        <w:rPr>
          <w:rFonts w:eastAsia="Cambria" w:cs="Calibri" w:cstheme="minorHAnsi"/>
          <w:sz w:val="22"/>
          <w:szCs w:val="22"/>
        </w:rPr>
        <w:t>as familias deberán ser informadas de dicho plan a principio de curso y al menos una vez al trimestre se les informará de los resultados de esta evaluación a través del boletín de notas.</w:t>
      </w:r>
    </w:p>
    <w:p>
      <w:pPr>
        <w:pStyle w:val="Normal"/>
        <w:tabs>
          <w:tab w:val="clear" w:pos="720"/>
          <w:tab w:val="left" w:pos="284" w:leader="none"/>
        </w:tabs>
        <w:ind w:firstLine="284"/>
        <w:jc w:val="both"/>
        <w:rPr/>
      </w:pPr>
      <w:r>
        <w:rPr>
          <w:rFonts w:eastAsia="Cambria" w:cs="Calibri" w:cstheme="minorHAnsi"/>
          <w:sz w:val="22"/>
          <w:szCs w:val="22"/>
        </w:rPr>
        <w:t>Por tanto,  a</w:t>
      </w:r>
      <w:r>
        <w:rPr>
          <w:rFonts w:cs="Calibri" w:cstheme="minorHAnsi"/>
          <w:sz w:val="22"/>
          <w:szCs w:val="22"/>
        </w:rPr>
        <w:t xml:space="preserve">quellos alumnos/as que no hayan superado la materia de Física y Química de 3º de ESO y que ahora estén matriculados en 4º, deberán seguir un programa de refuerzo (PRP) establecido por el departamento para recuperar los aprendizajes no adquiridos y superar las evaluaciones correspondientes a  dicho programa. Este programa contará con las siguientes características: </w:t>
      </w:r>
    </w:p>
    <w:p>
      <w:pPr>
        <w:pStyle w:val="Normal"/>
        <w:numPr>
          <w:ilvl w:val="0"/>
          <w:numId w:val="4"/>
        </w:numPr>
        <w:tabs>
          <w:tab w:val="clear" w:pos="720"/>
          <w:tab w:val="left" w:pos="284" w:leader="none"/>
        </w:tabs>
        <w:jc w:val="both"/>
        <w:rPr/>
      </w:pPr>
      <w:r>
        <w:rPr>
          <w:rFonts w:cs="Calibri" w:cstheme="minorHAnsi"/>
          <w:color w:val="000000"/>
          <w:sz w:val="22"/>
          <w:szCs w:val="22"/>
        </w:rPr>
        <w:t xml:space="preserve">A principio de curso se informará a cada alumno/a en esta situación de la/s fecha/s de las pruebas y se le facilitará un dossier de actividades relacionadas con los criterios de evaluación que deberá realizar para poder recuperar los criterios de evaluación. Cada familia firmará el PRP una vez que haya recibido esta documentación, quedando registrado en el departamento. </w:t>
      </w:r>
    </w:p>
    <w:p>
      <w:pPr>
        <w:pStyle w:val="Normal"/>
        <w:numPr>
          <w:ilvl w:val="0"/>
          <w:numId w:val="4"/>
        </w:numPr>
        <w:tabs>
          <w:tab w:val="clear" w:pos="720"/>
          <w:tab w:val="left" w:pos="284" w:leader="none"/>
        </w:tabs>
        <w:jc w:val="both"/>
        <w:rPr/>
      </w:pPr>
      <w:r>
        <w:rPr>
          <w:rFonts w:cs="Calibri" w:cstheme="minorHAnsi"/>
          <w:color w:val="000000"/>
          <w:sz w:val="22"/>
          <w:szCs w:val="22"/>
        </w:rPr>
        <w:t xml:space="preserve">Se creara un Classroom para poder poner dudas y material si fuera necesario. </w:t>
      </w:r>
    </w:p>
    <w:p>
      <w:pPr>
        <w:pStyle w:val="Normal"/>
        <w:numPr>
          <w:ilvl w:val="0"/>
          <w:numId w:val="4"/>
        </w:numPr>
        <w:tabs>
          <w:tab w:val="clear" w:pos="720"/>
          <w:tab w:val="left" w:pos="284" w:leader="none"/>
        </w:tabs>
        <w:jc w:val="both"/>
        <w:rPr/>
      </w:pPr>
      <w:r>
        <w:rPr>
          <w:rFonts w:cs="Calibri" w:cstheme="minorHAnsi"/>
          <w:color w:val="000000"/>
          <w:sz w:val="22"/>
          <w:szCs w:val="22"/>
        </w:rPr>
        <w:t xml:space="preserve">El jefe de departamento informará al principio del curso a las familias de los alumnos/as que se encuentren en esta situación del funcionamiento del programa de refuerzo y de la fecha orientativa de la/s prueba/s escrita/s. </w:t>
      </w:r>
    </w:p>
    <w:p>
      <w:pPr>
        <w:pStyle w:val="Normal"/>
        <w:numPr>
          <w:ilvl w:val="0"/>
          <w:numId w:val="4"/>
        </w:numPr>
        <w:tabs>
          <w:tab w:val="clear" w:pos="720"/>
          <w:tab w:val="left" w:pos="284" w:leader="none"/>
        </w:tabs>
        <w:jc w:val="both"/>
        <w:rPr/>
      </w:pPr>
      <w:r>
        <w:rPr>
          <w:rFonts w:cs="Calibri" w:cstheme="minorHAnsi"/>
          <w:color w:val="000000"/>
          <w:sz w:val="22"/>
          <w:szCs w:val="22"/>
        </w:rPr>
        <w:t xml:space="preserve">El jefe de departamento y los profesores de la materia en 3º de ESO, estarán a disposición de estos alumnos/as para resolver las dudas que pudieran tener durante la elaboración de los dosieres. Las dudas se resolverán bien en el aula, bien por vía telemática o concertando una cita previa con el docente en un recreo.  </w:t>
      </w:r>
    </w:p>
    <w:p>
      <w:pPr>
        <w:pStyle w:val="Normal"/>
        <w:numPr>
          <w:ilvl w:val="0"/>
          <w:numId w:val="4"/>
        </w:numPr>
        <w:tabs>
          <w:tab w:val="clear" w:pos="720"/>
          <w:tab w:val="left" w:pos="284" w:leader="none"/>
        </w:tabs>
        <w:jc w:val="both"/>
        <w:rPr/>
      </w:pPr>
      <w:r>
        <w:rPr>
          <w:rFonts w:cs="Calibri" w:cstheme="minorHAnsi"/>
          <w:color w:val="000000"/>
          <w:sz w:val="22"/>
          <w:szCs w:val="22"/>
        </w:rPr>
        <w:t xml:space="preserve">Si se considera oportuno, el jefe de departamento puede convocar de manera voluntaria a los alumnos/as con la materia no superada  para la realización de clases breves de repaso. </w:t>
      </w:r>
    </w:p>
    <w:p>
      <w:pPr>
        <w:pStyle w:val="Normal"/>
        <w:numPr>
          <w:ilvl w:val="0"/>
          <w:numId w:val="4"/>
        </w:numPr>
        <w:tabs>
          <w:tab w:val="clear" w:pos="720"/>
          <w:tab w:val="left" w:pos="284" w:leader="none"/>
        </w:tabs>
        <w:jc w:val="both"/>
        <w:rPr/>
      </w:pPr>
      <w:r>
        <w:rPr>
          <w:rFonts w:cs="Calibri" w:cstheme="minorHAnsi"/>
          <w:color w:val="000000"/>
          <w:sz w:val="22"/>
          <w:szCs w:val="22"/>
        </w:rPr>
        <w:t xml:space="preserve">El dossier de ejercicios de cada evaluación será entregado en forma y fecha a través de Google Classroom y corregido por el jefe de departamento. La calificación obtenida en dicho dossier tendrá una repercusión del 30 % en la calificación de la evaluación correspondiente. </w:t>
        <w:tab/>
        <w:tab/>
      </w:r>
    </w:p>
    <w:p>
      <w:pPr>
        <w:pStyle w:val="Normal"/>
        <w:numPr>
          <w:ilvl w:val="0"/>
          <w:numId w:val="4"/>
        </w:numPr>
        <w:tabs>
          <w:tab w:val="clear" w:pos="720"/>
          <w:tab w:val="left" w:pos="284" w:leader="none"/>
        </w:tabs>
        <w:jc w:val="both"/>
        <w:rPr/>
      </w:pPr>
      <w:r>
        <w:rPr>
          <w:rFonts w:cs="Calibri" w:cstheme="minorHAnsi"/>
          <w:color w:val="000000"/>
          <w:sz w:val="22"/>
          <w:szCs w:val="22"/>
        </w:rPr>
        <w:t xml:space="preserve">La prueba escrita que tendrá lugar en cada evaluación en una fecha que se publicará con suficiente anterioridad tendrá un peso en la calificación de la evaluación del 70 %.  </w:t>
        <w:tab/>
      </w:r>
    </w:p>
    <w:p>
      <w:pPr>
        <w:pStyle w:val="Normal"/>
        <w:numPr>
          <w:ilvl w:val="0"/>
          <w:numId w:val="4"/>
        </w:numPr>
        <w:tabs>
          <w:tab w:val="clear" w:pos="720"/>
          <w:tab w:val="left" w:pos="284" w:leader="none"/>
        </w:tabs>
        <w:spacing w:before="200" w:after="240"/>
        <w:jc w:val="both"/>
        <w:rPr/>
      </w:pPr>
      <w:r>
        <w:rPr>
          <w:rFonts w:cs="Calibri" w:cstheme="minorHAnsi"/>
          <w:color w:val="000000"/>
          <w:sz w:val="22"/>
          <w:szCs w:val="22"/>
        </w:rPr>
        <w:t>Será necesaria la obtención de una calificación mínima de 5 para poder considerar la materia como superada.</w:t>
      </w:r>
    </w:p>
    <w:p>
      <w:pPr>
        <w:pStyle w:val="Normal"/>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b/>
          <w:sz w:val="22"/>
          <w:szCs w:val="22"/>
          <w:u w:val="single"/>
        </w:rPr>
        <w:t>9. ESTRATEGIAS DIDÁCTICAS Y METODOLÓGICAS</w:t>
      </w:r>
    </w:p>
    <w:p>
      <w:pPr>
        <w:pStyle w:val="Normal"/>
        <w:tabs>
          <w:tab w:val="clear" w:pos="720"/>
          <w:tab w:val="left" w:pos="284" w:leader="none"/>
        </w:tabs>
        <w:ind w:firstLine="284"/>
        <w:jc w:val="both"/>
        <w:rPr/>
      </w:pPr>
      <w:r>
        <w:rPr>
          <w:color w:val="000000"/>
          <w:sz w:val="22"/>
          <w:szCs w:val="22"/>
        </w:rPr>
        <w:t>La materia de Física y Química tiene como finalidad dotar a los alumnos de una cultura científica básica y capacidad para conocer el mundo que nos rodea y sus fenómenos, preparándose como futuros ciudadanos de una sociedad estrechamente ligada a la ciencia y a sus avances.</w:t>
      </w:r>
    </w:p>
    <w:p>
      <w:pPr>
        <w:pStyle w:val="Normal"/>
        <w:ind w:firstLine="283"/>
        <w:jc w:val="both"/>
        <w:rPr/>
      </w:pPr>
      <w:r>
        <w:rPr>
          <w:color w:val="000000"/>
          <w:sz w:val="22"/>
          <w:szCs w:val="22"/>
        </w:rPr>
        <w:t xml:space="preserve">Los alumnos/as de 4º de ESO de Física y Química están habituados a recibir multitud de estímulos diariamente de forma muy atractiva y visual, por tanto, resulta fundamental intentar motivar y captar la atención del alumnado a través de la metodología que se desarrolle en el aula. En este sentido, las estrategias principales que se llevarán a cabo en la materia de Física y Química son las siguientes: </w:t>
      </w:r>
    </w:p>
    <w:p>
      <w:pPr>
        <w:pStyle w:val="Normal"/>
        <w:numPr>
          <w:ilvl w:val="0"/>
          <w:numId w:val="5"/>
        </w:numPr>
        <w:jc w:val="both"/>
        <w:rPr/>
      </w:pPr>
      <w:r>
        <w:rPr>
          <w:b/>
          <w:color w:val="000000"/>
          <w:sz w:val="22"/>
          <w:szCs w:val="22"/>
        </w:rPr>
        <w:t>Entornos digitales</w:t>
      </w:r>
      <w:r>
        <w:rPr>
          <w:color w:val="000000"/>
          <w:sz w:val="22"/>
          <w:szCs w:val="22"/>
        </w:rPr>
        <w:t xml:space="preserve">: los alumnos/as están familiarizados con diferentes soportes digitales, a través de los cuáles, se comunican y reciben información con mucha frecuencia. Por esta razón, en las clases de Física y Química se utilizarán simulaciones por ordenador de procesos físicos, vídeos de Youtube con contenido científico, del mismo modo que se hará uso de herramientas digitales para recursos y cuestionarios (Aramoodle, Kahoot, Google Classroom, etc). Al utilizar estos elementos digitales el alumno/a se siente más cómodo ya que es un contexto que le resulta familiar, y a la vez hace posible que su motivación aumente.  </w:t>
      </w:r>
    </w:p>
    <w:p>
      <w:pPr>
        <w:pStyle w:val="Normal"/>
        <w:numPr>
          <w:ilvl w:val="0"/>
          <w:numId w:val="5"/>
        </w:numPr>
        <w:jc w:val="both"/>
        <w:rPr/>
      </w:pPr>
      <w:r>
        <w:rPr>
          <w:b/>
          <w:color w:val="000000"/>
          <w:sz w:val="22"/>
          <w:szCs w:val="22"/>
        </w:rPr>
        <w:t>Actividades variadas</w:t>
      </w:r>
      <w:r>
        <w:rPr>
          <w:color w:val="000000"/>
          <w:sz w:val="22"/>
          <w:szCs w:val="22"/>
        </w:rPr>
        <w:t xml:space="preserve">: para evitar una pérdida de atención por parte del alumnado durante las clases, se considera conveniente realizar diferentes actividades a lo largo de cualquier sesión de forma que la sesión de Física y Química sea variada y no absolutamente previsible para el alumnado.  </w:t>
      </w:r>
    </w:p>
    <w:p>
      <w:pPr>
        <w:pStyle w:val="Normal"/>
        <w:numPr>
          <w:ilvl w:val="0"/>
          <w:numId w:val="5"/>
        </w:numPr>
        <w:jc w:val="both"/>
        <w:rPr/>
      </w:pPr>
      <w:r>
        <w:rPr>
          <w:b/>
          <w:color w:val="000000"/>
          <w:sz w:val="22"/>
          <w:szCs w:val="22"/>
        </w:rPr>
        <w:t>Actividades contextualizadas</w:t>
      </w:r>
      <w:r>
        <w:rPr>
          <w:color w:val="000000"/>
          <w:sz w:val="22"/>
          <w:szCs w:val="22"/>
        </w:rPr>
        <w:t xml:space="preserve">: siempre que se exponga cualquier contenido de la materia o se realicen actividades en el aula, se elegirán ejemplos propios de la vida cotidiana de los alumnos/as, de cara a facilitar la comprensión de nuevos conceptos a partir de las experiencias que ya tienen y de lo que ya saben. </w:t>
      </w:r>
    </w:p>
    <w:p>
      <w:pPr>
        <w:pStyle w:val="Normal"/>
        <w:numPr>
          <w:ilvl w:val="0"/>
          <w:numId w:val="5"/>
        </w:numPr>
        <w:tabs>
          <w:tab w:val="clear" w:pos="720"/>
          <w:tab w:val="left" w:pos="284" w:leader="none"/>
        </w:tabs>
        <w:ind w:left="709" w:hanging="425"/>
        <w:jc w:val="both"/>
        <w:rPr/>
      </w:pPr>
      <w:r>
        <w:rPr>
          <w:b/>
          <w:color w:val="000000"/>
          <w:sz w:val="22"/>
          <w:szCs w:val="22"/>
        </w:rPr>
        <w:t>Buen clima de clase</w:t>
      </w:r>
      <w:r>
        <w:rPr>
          <w:color w:val="000000"/>
          <w:sz w:val="22"/>
          <w:szCs w:val="22"/>
        </w:rPr>
        <w:t xml:space="preserve">: consiste en que los alumnos/as comprendan que la labor del docente es que adquieran una serie de contenidos que vienen establecidos por la legislación y que se formen como personas capaces de insertarse en un futuro en la sociedad. Esto hará posible un clima de clase más agradable, de forma que el rendimiento académico de los alumnos/as será mayor. </w:t>
      </w:r>
    </w:p>
    <w:p>
      <w:pPr>
        <w:pStyle w:val="Normal"/>
        <w:numPr>
          <w:ilvl w:val="0"/>
          <w:numId w:val="5"/>
        </w:numPr>
        <w:tabs>
          <w:tab w:val="clear" w:pos="720"/>
          <w:tab w:val="left" w:pos="284" w:leader="none"/>
        </w:tabs>
        <w:ind w:left="709" w:hanging="425"/>
        <w:jc w:val="both"/>
        <w:rPr/>
      </w:pPr>
      <w:r>
        <w:rPr>
          <w:b/>
          <w:color w:val="000000"/>
          <w:sz w:val="22"/>
          <w:szCs w:val="22"/>
        </w:rPr>
        <w:t>Laboratorio de Física y química</w:t>
      </w:r>
      <w:r>
        <w:rPr>
          <w:color w:val="000000"/>
          <w:sz w:val="22"/>
          <w:szCs w:val="22"/>
        </w:rPr>
        <w:t xml:space="preserve">: durante la Educación Secundaria Obligatoria, se considera fundamental que el alumnado adquiera unas bases procedimentales  respecto al trabajo en el laboratorio, ya que esas bases afianzarán lo trabajado en el aula y permitirán que el alumno/a comprenda como se genera el conocimiento científico y como se trabaja en un laboratorio de Ciencias. </w:t>
      </w:r>
    </w:p>
    <w:p>
      <w:pPr>
        <w:pStyle w:val="Normal"/>
        <w:keepNext w:val="true"/>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b/>
          <w:sz w:val="22"/>
          <w:szCs w:val="22"/>
          <w:u w:val="single"/>
        </w:rPr>
        <w:t>10. CONCRECIÓN DEL PLAN LECTOR</w:t>
      </w:r>
    </w:p>
    <w:p>
      <w:pPr>
        <w:pStyle w:val="Normal"/>
        <w:tabs>
          <w:tab w:val="clear" w:pos="720"/>
          <w:tab w:val="left" w:pos="284" w:leader="none"/>
        </w:tabs>
        <w:ind w:firstLine="284"/>
        <w:jc w:val="both"/>
        <w:rPr/>
      </w:pPr>
      <w:r>
        <w:rPr>
          <w:sz w:val="22"/>
          <w:szCs w:val="22"/>
        </w:rPr>
        <w:t>D</w:t>
      </w:r>
      <w:bookmarkStart w:id="11" w:name="__DdeLink__2784_3486133297"/>
      <w:r>
        <w:rPr>
          <w:sz w:val="22"/>
          <w:szCs w:val="22"/>
        </w:rPr>
        <w:t xml:space="preserve">ado que es fundamental la competencia en comunicación lingüística en la formación del alumnado, en el Plan Lector específico de la materia de Física y Química en 4º de ESO se llevarán a cabo las siguientes medidas: </w:t>
      </w:r>
    </w:p>
    <w:p>
      <w:pPr>
        <w:pStyle w:val="Normal"/>
        <w:numPr>
          <w:ilvl w:val="0"/>
          <w:numId w:val="6"/>
        </w:numPr>
        <w:tabs>
          <w:tab w:val="clear" w:pos="720"/>
          <w:tab w:val="left" w:pos="284" w:leader="none"/>
        </w:tabs>
        <w:jc w:val="both"/>
        <w:rPr/>
      </w:pPr>
      <w:r>
        <w:rPr>
          <w:sz w:val="22"/>
          <w:szCs w:val="22"/>
        </w:rPr>
        <w:t xml:space="preserve">Lectura de textos relacionados con el conocimiento científico y las relaciones entre ciencia, tecnología y sociedad. Posteriormente se realizarán actividades de comprensión, así como el planteamiento de preguntas relacionadas con el texto que puedan afectar a la vida cotidiana de los alumnos/as o que puedan suscitar determinados debates. </w:t>
      </w:r>
    </w:p>
    <w:p>
      <w:pPr>
        <w:pStyle w:val="Normal"/>
        <w:numPr>
          <w:ilvl w:val="0"/>
          <w:numId w:val="6"/>
        </w:numPr>
        <w:tabs>
          <w:tab w:val="clear" w:pos="720"/>
          <w:tab w:val="left" w:pos="284" w:leader="none"/>
        </w:tabs>
        <w:jc w:val="both"/>
        <w:rPr/>
      </w:pPr>
      <w:r>
        <w:rPr>
          <w:sz w:val="22"/>
          <w:szCs w:val="22"/>
        </w:rPr>
        <w:t xml:space="preserve">Se leerán en determinadas unidades didácticas fragmentos de libros de divulgación científica facilitados por el docente. Estos fragmentos abordan algunos de los contenidos de la asignatura de una forma diferente y amena, pudiendo suscitar el interés por la lectura de dichos libros fuera del horario escolar por parte de los alumnos/as. En esta línea, resultan especialmente interesantes las biografías de grandes científicos/as como Marie Curie y Antoine-Laurent Lavoisier. Dado que algunos ejemplares de este tipo de libros se encuentran disponibles en la biblioteca del centro, se podrá considerar como una actividad de ampliación voluntaria la lectura y comprensión de algunos capítulos de estos ejemplares. </w:t>
      </w:r>
    </w:p>
    <w:p>
      <w:pPr>
        <w:pStyle w:val="Normal"/>
        <w:tabs>
          <w:tab w:val="clear" w:pos="720"/>
          <w:tab w:val="left" w:pos="284" w:leader="none"/>
        </w:tabs>
        <w:ind w:firstLine="284"/>
        <w:jc w:val="both"/>
        <w:rPr/>
      </w:pPr>
      <w:r>
        <w:rPr>
          <w:sz w:val="22"/>
          <w:szCs w:val="22"/>
        </w:rPr>
        <w:t>La presentación de los trabajos tanto escritos como orales se realizará siguiendo las pautas y recomendaciones recogidas en el Proyecto Lingüístico del centro.</w:t>
      </w:r>
      <w:bookmarkEnd w:id="11"/>
    </w:p>
    <w:p>
      <w:pPr>
        <w:pStyle w:val="Normal"/>
        <w:jc w:val="both"/>
        <w:rPr/>
      </w:pPr>
      <w:r>
        <w:rPr>
          <w:rFonts w:eastAsia="Cambria" w:cs="Calibri" w:cstheme="minorHAnsi"/>
          <w:b/>
          <w:sz w:val="22"/>
          <w:szCs w:val="22"/>
          <w:u w:val="single"/>
        </w:rPr>
        <w:t>11. CONCRECIÓN DEL PLAN DE IMPLEMENTACIÓN DE ELEMENTOS TRANSVERSALES</w:t>
      </w:r>
    </w:p>
    <w:p>
      <w:pPr>
        <w:pStyle w:val="Normal"/>
        <w:ind w:firstLine="284"/>
        <w:jc w:val="both"/>
        <w:rPr/>
      </w:pPr>
      <w:r>
        <w:rPr>
          <w:rFonts w:cs="Calibri" w:cstheme="minorHAnsi"/>
          <w:sz w:val="22"/>
          <w:szCs w:val="22"/>
        </w:rPr>
        <w:t>La legislación establece una serie de elementos transversales que deben ser tratados en todas las materias de la Educación Secundaria y que contribuyen a la formación de los alumnos más allá de los contenidos curriculares. En la materia de Física y Química en 4º de ESO se trabajarán los elementos transversales recogidos en el Plan de implementación de elementos transversales contenido en el Proyecto Curricular de Etapa del centro. Una propuesta sería la recogida en la siguiente tabla:</w:t>
      </w:r>
    </w:p>
    <w:p>
      <w:pPr>
        <w:pStyle w:val="Normal"/>
        <w:jc w:val="both"/>
        <w:rPr>
          <w:rFonts w:ascii="Calibri" w:hAnsi="Calibri" w:eastAsia="Cambria" w:cs="Cambria"/>
          <w:b/>
          <w:b/>
          <w:sz w:val="22"/>
          <w:szCs w:val="22"/>
          <w:u w:val="single"/>
        </w:rPr>
      </w:pPr>
      <w:r>
        <w:rPr>
          <w:rFonts w:eastAsia="Cambria" w:cs="Cambria"/>
          <w:b/>
          <w:sz w:val="22"/>
          <w:szCs w:val="22"/>
          <w:u w:val="single"/>
        </w:rPr>
      </w:r>
    </w:p>
    <w:tbl>
      <w:tblPr>
        <w:tblW w:w="7535" w:type="dxa"/>
        <w:jc w:val="left"/>
        <w:tblInd w:w="-5" w:type="dxa"/>
        <w:tblCellMar>
          <w:top w:w="0" w:type="dxa"/>
          <w:left w:w="115" w:type="dxa"/>
          <w:bottom w:w="0" w:type="dxa"/>
          <w:right w:w="115" w:type="dxa"/>
        </w:tblCellMar>
        <w:tblLook w:firstRow="1" w:noVBand="1" w:lastRow="0" w:firstColumn="1" w:lastColumn="0" w:noHBand="0" w:val="04a0"/>
      </w:tblPr>
      <w:tblGrid>
        <w:gridCol w:w="3548"/>
        <w:gridCol w:w="340"/>
        <w:gridCol w:w="336"/>
        <w:gridCol w:w="338"/>
        <w:gridCol w:w="341"/>
        <w:gridCol w:w="336"/>
        <w:gridCol w:w="337"/>
        <w:gridCol w:w="340"/>
        <w:gridCol w:w="339"/>
        <w:gridCol w:w="339"/>
        <w:gridCol w:w="453"/>
        <w:gridCol w:w="487"/>
      </w:tblGrid>
      <w:tr>
        <w:trPr/>
        <w:tc>
          <w:tcPr>
            <w:tcW w:w="3548" w:type="dxa"/>
            <w:vMerge w:val="restart"/>
            <w:tcBorders>
              <w:top w:val="single" w:sz="4" w:space="0" w:color="000000"/>
              <w:left w:val="single" w:sz="4" w:space="0" w:color="000000"/>
              <w:bottom w:val="single" w:sz="4" w:space="0" w:color="000000"/>
              <w:right w:val="single" w:sz="4" w:space="0" w:color="000000"/>
            </w:tcBorders>
            <w:shd w:color="auto" w:fill="E2EFD9" w:val="clear"/>
            <w:vAlign w:val="center"/>
          </w:tcPr>
          <w:p>
            <w:pPr>
              <w:pStyle w:val="Normal"/>
              <w:spacing w:lineRule="auto" w:line="240" w:before="0" w:after="120"/>
              <w:jc w:val="center"/>
              <w:rPr/>
            </w:pPr>
            <w:r>
              <w:rPr>
                <w:rFonts w:eastAsia="Times New Roman"/>
                <w:b/>
                <w:bCs/>
                <w:color w:val="auto"/>
                <w:sz w:val="22"/>
                <w:szCs w:val="22"/>
              </w:rPr>
              <w:t>CONTENIDOS TRANSVERSALES</w:t>
            </w:r>
          </w:p>
        </w:tc>
        <w:tc>
          <w:tcPr>
            <w:tcW w:w="3986" w:type="dxa"/>
            <w:gridSpan w:val="11"/>
            <w:tcBorders>
              <w:top w:val="single" w:sz="8" w:space="0" w:color="000000"/>
              <w:left w:val="single" w:sz="4" w:space="0" w:color="000000"/>
              <w:bottom w:val="single" w:sz="4" w:space="0" w:color="000000"/>
              <w:right w:val="single" w:sz="4" w:space="0" w:color="000000"/>
            </w:tcBorders>
            <w:shd w:color="auto" w:fill="E2EFD9" w:val="clear"/>
            <w:vAlign w:val="center"/>
          </w:tcPr>
          <w:p>
            <w:pPr>
              <w:pStyle w:val="Normal"/>
              <w:spacing w:lineRule="auto" w:line="240" w:before="0" w:after="120"/>
              <w:jc w:val="center"/>
              <w:rPr/>
            </w:pPr>
            <w:r>
              <w:rPr>
                <w:rFonts w:eastAsia="Times New Roman"/>
                <w:b/>
                <w:bCs/>
                <w:color w:val="auto"/>
                <w:sz w:val="22"/>
                <w:szCs w:val="22"/>
              </w:rPr>
              <w:t>SITUACIONES DE APRENDIZAJE 4º CURSO</w:t>
            </w:r>
          </w:p>
        </w:tc>
      </w:tr>
      <w:tr>
        <w:trPr/>
        <w:tc>
          <w:tcPr>
            <w:tcW w:w="3548" w:type="dxa"/>
            <w:vMerge w:val="continue"/>
            <w:tcBorders>
              <w:top w:val="single" w:sz="4" w:space="0" w:color="000000"/>
              <w:left w:val="single" w:sz="4" w:space="0" w:color="000000"/>
              <w:bottom w:val="single" w:sz="4" w:space="0" w:color="000000"/>
              <w:right w:val="single" w:sz="4" w:space="0" w:color="000000"/>
            </w:tcBorders>
            <w:shd w:fill="auto" w:val="clear"/>
            <w:tcMar>
              <w:top w:w="15" w:type="dxa"/>
              <w:left w:w="15" w:type="dxa"/>
              <w:bottom w:w="15" w:type="dxa"/>
              <w:right w:w="15" w:type="dxa"/>
            </w:tcMar>
            <w:vAlign w:val="cente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pPr>
            <w:r>
              <w:rPr>
                <w:rFonts w:eastAsia="Times New Roman"/>
                <w:b/>
                <w:bCs/>
                <w:color w:val="auto"/>
                <w:sz w:val="22"/>
                <w:szCs w:val="22"/>
              </w:rPr>
              <w:t>1</w:t>
            </w:r>
          </w:p>
        </w:tc>
        <w:tc>
          <w:tcPr>
            <w:tcW w:w="336"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pPr>
            <w:r>
              <w:rPr>
                <w:rFonts w:eastAsia="Times New Roman"/>
                <w:b/>
                <w:bCs/>
                <w:color w:val="auto"/>
                <w:sz w:val="22"/>
                <w:szCs w:val="22"/>
              </w:rPr>
              <w:t>2</w:t>
            </w:r>
          </w:p>
        </w:tc>
        <w:tc>
          <w:tcPr>
            <w:tcW w:w="338"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pPr>
            <w:r>
              <w:rPr>
                <w:rFonts w:eastAsia="Times New Roman"/>
                <w:b/>
                <w:bCs/>
                <w:color w:val="auto"/>
                <w:sz w:val="22"/>
                <w:szCs w:val="22"/>
              </w:rPr>
              <w:t>3</w:t>
            </w:r>
          </w:p>
        </w:tc>
        <w:tc>
          <w:tcPr>
            <w:tcW w:w="341"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pPr>
            <w:r>
              <w:rPr>
                <w:rFonts w:eastAsia="Times New Roman"/>
                <w:b/>
                <w:bCs/>
                <w:color w:val="auto"/>
                <w:sz w:val="22"/>
                <w:szCs w:val="22"/>
              </w:rPr>
              <w:t>4</w:t>
            </w:r>
          </w:p>
        </w:tc>
        <w:tc>
          <w:tcPr>
            <w:tcW w:w="336"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pPr>
            <w:r>
              <w:rPr>
                <w:rFonts w:eastAsia="Times New Roman"/>
                <w:b/>
                <w:bCs/>
                <w:color w:val="auto"/>
                <w:sz w:val="22"/>
                <w:szCs w:val="22"/>
              </w:rPr>
              <w:t>5</w:t>
            </w:r>
          </w:p>
        </w:tc>
        <w:tc>
          <w:tcPr>
            <w:tcW w:w="337"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pPr>
            <w:r>
              <w:rPr>
                <w:rFonts w:eastAsia="Times New Roman"/>
                <w:b/>
                <w:bCs/>
                <w:color w:val="auto"/>
                <w:sz w:val="22"/>
                <w:szCs w:val="22"/>
              </w:rPr>
              <w:t>6</w:t>
            </w:r>
          </w:p>
        </w:tc>
        <w:tc>
          <w:tcPr>
            <w:tcW w:w="340"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pPr>
            <w:r>
              <w:rPr>
                <w:rFonts w:eastAsia="Times New Roman"/>
                <w:b/>
                <w:bCs/>
                <w:color w:val="auto"/>
                <w:sz w:val="22"/>
                <w:szCs w:val="22"/>
              </w:rPr>
              <w:t>7</w:t>
            </w:r>
          </w:p>
        </w:tc>
        <w:tc>
          <w:tcPr>
            <w:tcW w:w="339"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pPr>
            <w:r>
              <w:rPr>
                <w:rFonts w:eastAsia="Times New Roman"/>
                <w:b/>
                <w:bCs/>
                <w:color w:val="auto"/>
                <w:sz w:val="22"/>
                <w:szCs w:val="22"/>
              </w:rPr>
              <w:t>8</w:t>
            </w:r>
          </w:p>
        </w:tc>
        <w:tc>
          <w:tcPr>
            <w:tcW w:w="339"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pPr>
            <w:r>
              <w:rPr>
                <w:rFonts w:eastAsia="Times New Roman"/>
                <w:b/>
                <w:bCs/>
                <w:color w:val="auto"/>
                <w:sz w:val="22"/>
                <w:szCs w:val="22"/>
              </w:rPr>
              <w:t>9</w:t>
            </w:r>
          </w:p>
        </w:tc>
        <w:tc>
          <w:tcPr>
            <w:tcW w:w="453"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pPr>
            <w:r>
              <w:rPr>
                <w:rFonts w:eastAsia="Times New Roman"/>
                <w:b/>
                <w:bCs/>
                <w:color w:val="auto"/>
                <w:sz w:val="22"/>
                <w:szCs w:val="22"/>
              </w:rPr>
              <w:t>10</w:t>
            </w:r>
          </w:p>
        </w:tc>
        <w:tc>
          <w:tcPr>
            <w:tcW w:w="487" w:type="dxa"/>
            <w:tcBorders>
              <w:top w:val="single" w:sz="4" w:space="0" w:color="000000"/>
              <w:left w:val="single" w:sz="4" w:space="0" w:color="000000"/>
              <w:bottom w:val="single" w:sz="4" w:space="0" w:color="000000"/>
              <w:right w:val="single" w:sz="4" w:space="0" w:color="000000"/>
            </w:tcBorders>
            <w:shd w:color="auto" w:fill="E2EFD9" w:val="clear"/>
          </w:tcPr>
          <w:p>
            <w:pPr>
              <w:pStyle w:val="Normal"/>
              <w:spacing w:lineRule="auto" w:line="240" w:before="0" w:after="120"/>
              <w:jc w:val="center"/>
              <w:rPr/>
            </w:pPr>
            <w:r>
              <w:rPr>
                <w:rFonts w:eastAsia="Times New Roman"/>
                <w:b/>
                <w:bCs/>
                <w:color w:val="auto"/>
                <w:sz w:val="22"/>
                <w:szCs w:val="22"/>
              </w:rPr>
              <w:t>11</w:t>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olor w:val="000000"/>
                <w:sz w:val="22"/>
                <w:szCs w:val="22"/>
              </w:rPr>
              <w:t>Comprensión lectora</w:t>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olor w:val="000000"/>
                <w:sz w:val="22"/>
                <w:szCs w:val="22"/>
              </w:rPr>
              <w:t>Expresión oral </w:t>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olor w:val="000000"/>
                <w:sz w:val="22"/>
                <w:szCs w:val="22"/>
              </w:rPr>
              <w:t>Comunicación audiovisual</w:t>
            </w:r>
          </w:p>
        </w:tc>
        <w:tc>
          <w:tcPr>
            <w:tcW w:w="340"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7"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olor w:val="000000"/>
                <w:sz w:val="22"/>
                <w:szCs w:val="22"/>
              </w:rPr>
              <w:t>Competencia digital</w:t>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olor w:val="000000"/>
                <w:sz w:val="22"/>
                <w:szCs w:val="22"/>
              </w:rPr>
              <w:t>Emprendimiento social y empresarial</w:t>
            </w:r>
          </w:p>
        </w:tc>
        <w:tc>
          <w:tcPr>
            <w:tcW w:w="340"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olor w:val="000000"/>
                <w:sz w:val="22"/>
                <w:szCs w:val="22"/>
              </w:rPr>
              <w:t>Espíritu crítico y científico</w:t>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olor w:val="000000"/>
                <w:sz w:val="22"/>
                <w:szCs w:val="22"/>
              </w:rPr>
              <w:t>Educación emocional</w:t>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olor w:val="000000"/>
                <w:sz w:val="22"/>
                <w:szCs w:val="22"/>
              </w:rPr>
              <w:t>Educación en valores</w:t>
            </w:r>
          </w:p>
        </w:tc>
        <w:tc>
          <w:tcPr>
            <w:tcW w:w="340"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olor w:val="000000"/>
                <w:sz w:val="22"/>
                <w:szCs w:val="22"/>
              </w:rPr>
              <w:t>Igualdad de género</w:t>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7"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r>
        <w:trPr/>
        <w:tc>
          <w:tcPr>
            <w:tcW w:w="354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120"/>
              <w:rPr/>
            </w:pPr>
            <w:r>
              <w:rPr>
                <w:rFonts w:eastAsia="Times New Roman"/>
                <w:color w:val="000000"/>
                <w:sz w:val="22"/>
                <w:szCs w:val="22"/>
              </w:rPr>
              <w:t>Desarrollo de la creatividad</w:t>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8"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1"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6"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7"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40"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339"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53" w:type="dxa"/>
            <w:tcBorders>
              <w:top w:val="single" w:sz="4" w:space="0" w:color="000000"/>
              <w:left w:val="single" w:sz="4" w:space="0" w:color="000000"/>
              <w:bottom w:val="single" w:sz="4" w:space="0" w:color="000000"/>
              <w:right w:val="single" w:sz="4" w:space="0" w:color="000000"/>
            </w:tcBorders>
            <w:shd w:color="auto" w:fill="95B3D7" w:themeFill="accent1" w:themeFillTint="99"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c>
          <w:tcPr>
            <w:tcW w:w="487"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rPr>
                <w:rFonts w:ascii="Calibri" w:hAnsi="Calibri" w:eastAsia="Times New Roman"/>
                <w:color w:val="auto"/>
                <w:sz w:val="22"/>
                <w:szCs w:val="22"/>
              </w:rPr>
            </w:pPr>
            <w:r>
              <w:rPr>
                <w:rFonts w:eastAsia="Times New Roman"/>
                <w:color w:val="auto"/>
                <w:sz w:val="22"/>
                <w:szCs w:val="22"/>
              </w:rPr>
            </w:r>
          </w:p>
        </w:tc>
      </w:tr>
    </w:tbl>
    <w:p>
      <w:pPr>
        <w:pStyle w:val="Normal"/>
        <w:jc w:val="both"/>
        <w:rPr>
          <w:rFonts w:ascii="Calibri" w:hAnsi="Calibri" w:eastAsia="Cambria" w:cs="Calibri" w:cstheme="minorHAnsi"/>
          <w:sz w:val="22"/>
          <w:szCs w:val="22"/>
        </w:rPr>
      </w:pPr>
      <w:r>
        <w:rPr>
          <w:rFonts w:eastAsia="Cambria" w:cs="Calibri" w:cstheme="minorHAnsi"/>
          <w:sz w:val="22"/>
          <w:szCs w:val="22"/>
        </w:rPr>
      </w:r>
    </w:p>
    <w:p>
      <w:pPr>
        <w:pStyle w:val="Normal"/>
        <w:jc w:val="both"/>
        <w:rPr/>
      </w:pPr>
      <w:r>
        <w:rPr>
          <w:rFonts w:eastAsia="Cambria" w:cs="Calibri" w:cstheme="minorHAnsi"/>
          <w:b/>
          <w:sz w:val="22"/>
          <w:szCs w:val="22"/>
          <w:u w:val="single"/>
        </w:rPr>
        <w:t xml:space="preserve">12. CONCRECIÓN DEL PLAN DE UTILIZACIÓN DE LAS TECNOLOGÍAS DIGITALES </w:t>
      </w:r>
    </w:p>
    <w:p>
      <w:pPr>
        <w:pStyle w:val="Normal"/>
        <w:spacing w:lineRule="auto" w:line="288"/>
        <w:ind w:firstLine="284"/>
        <w:jc w:val="both"/>
        <w:rPr/>
      </w:pPr>
      <w:r>
        <w:rPr>
          <w:rFonts w:eastAsia="Cambria" w:cs="Calibri" w:cstheme="minorHAnsi"/>
          <w:sz w:val="22"/>
          <w:szCs w:val="22"/>
        </w:rPr>
        <w:t xml:space="preserve">El Plan de utilización de las Tecnologías digitales contenido en el Proyecto Curricular de Etapa del centro establece que la finalidad debe ser hacer de las TIC una herramienta de uso habitual que permita mejorar los procesos de enseñanza-aprendizaje del alumnado. En este sentido, en la materia de Física y química de 4º de ESO se aplicarán las siguientes medidas: </w:t>
      </w:r>
    </w:p>
    <w:p>
      <w:pPr>
        <w:pStyle w:val="ListParagraph"/>
        <w:numPr>
          <w:ilvl w:val="0"/>
          <w:numId w:val="8"/>
        </w:numPr>
        <w:ind w:left="567" w:hanging="283"/>
        <w:jc w:val="both"/>
        <w:rPr/>
      </w:pPr>
      <w:r>
        <w:rPr>
          <w:rFonts w:eastAsia="Cambria" w:cs="Calibri" w:cstheme="minorHAnsi"/>
          <w:sz w:val="22"/>
          <w:szCs w:val="22"/>
        </w:rPr>
        <w:t>Potenciar el uso de las TIC como herramienta educativa, medio de apoyo y refuerzo en el aprendizaje del alumnado.</w:t>
      </w:r>
    </w:p>
    <w:p>
      <w:pPr>
        <w:pStyle w:val="ListParagraph"/>
        <w:numPr>
          <w:ilvl w:val="0"/>
          <w:numId w:val="8"/>
        </w:numPr>
        <w:ind w:left="567" w:hanging="283"/>
        <w:jc w:val="both"/>
        <w:rPr/>
      </w:pPr>
      <w:r>
        <w:rPr>
          <w:rFonts w:eastAsia="Cambria" w:cs="Calibri" w:cstheme="minorHAnsi"/>
          <w:sz w:val="22"/>
          <w:szCs w:val="22"/>
        </w:rPr>
        <w:t>Utilizar con las TIC como fuente de información, favoreciendo en el alumnado el espíritu crítico en la búsqueda y tratamiento de la información obtenida en Internet.</w:t>
      </w:r>
    </w:p>
    <w:p>
      <w:pPr>
        <w:pStyle w:val="ListParagraph"/>
        <w:numPr>
          <w:ilvl w:val="0"/>
          <w:numId w:val="8"/>
        </w:numPr>
        <w:ind w:left="567" w:hanging="283"/>
        <w:jc w:val="both"/>
        <w:rPr/>
      </w:pPr>
      <w:r>
        <w:rPr>
          <w:rFonts w:eastAsia="Cambria" w:cs="Calibri" w:cstheme="minorHAnsi"/>
          <w:sz w:val="22"/>
          <w:szCs w:val="22"/>
        </w:rPr>
        <w:t>Potenciar entre el alumnado el uso el ordenador como medio de investigación para ampliar conocimientos y elaborar trabajos.</w:t>
      </w:r>
    </w:p>
    <w:p>
      <w:pPr>
        <w:pStyle w:val="ListParagraph"/>
        <w:numPr>
          <w:ilvl w:val="0"/>
          <w:numId w:val="8"/>
        </w:numPr>
        <w:ind w:left="567" w:hanging="283"/>
        <w:jc w:val="both"/>
        <w:rPr/>
      </w:pPr>
      <w:r>
        <w:rPr>
          <w:rFonts w:eastAsia="Cambria" w:cs="Calibri" w:cstheme="minorHAnsi"/>
          <w:sz w:val="22"/>
          <w:szCs w:val="22"/>
        </w:rPr>
        <w:t>Disponibilidad de un ordenador y una pizarra digital o pantalla en las aulas de grupo.</w:t>
      </w:r>
    </w:p>
    <w:p>
      <w:pPr>
        <w:pStyle w:val="ListParagraph"/>
        <w:numPr>
          <w:ilvl w:val="0"/>
          <w:numId w:val="8"/>
        </w:numPr>
        <w:ind w:left="567" w:hanging="283"/>
        <w:jc w:val="both"/>
        <w:rPr/>
      </w:pPr>
      <w:r>
        <w:rPr>
          <w:rFonts w:eastAsia="Cambria" w:cs="Calibri" w:cstheme="minorHAnsi"/>
          <w:sz w:val="22"/>
          <w:szCs w:val="22"/>
        </w:rPr>
        <w:t>Disponibilidad de aulas específicas de informática, dotadas con ordenadores suficientes.</w:t>
      </w:r>
    </w:p>
    <w:p>
      <w:pPr>
        <w:pStyle w:val="ListParagraph"/>
        <w:numPr>
          <w:ilvl w:val="0"/>
          <w:numId w:val="8"/>
        </w:numPr>
        <w:ind w:left="567" w:hanging="283"/>
        <w:jc w:val="both"/>
        <w:rPr/>
      </w:pPr>
      <w:r>
        <w:rPr>
          <w:rFonts w:eastAsia="Cambria" w:cs="Calibri" w:cstheme="minorHAnsi"/>
          <w:sz w:val="22"/>
          <w:szCs w:val="22"/>
        </w:rPr>
        <w:t>Creación, selección y organización de materiales curriculares o de software educativo.</w:t>
      </w:r>
    </w:p>
    <w:p>
      <w:pPr>
        <w:pStyle w:val="ListParagraph"/>
        <w:numPr>
          <w:ilvl w:val="0"/>
          <w:numId w:val="8"/>
        </w:numPr>
        <w:ind w:left="567" w:hanging="283"/>
        <w:jc w:val="both"/>
        <w:rPr/>
      </w:pPr>
      <w:r>
        <w:rPr>
          <w:rFonts w:eastAsia="Cambria" w:cs="Calibri" w:cstheme="minorHAnsi"/>
          <w:sz w:val="22"/>
          <w:szCs w:val="22"/>
        </w:rPr>
        <w:t>Uso del correo electrónico corporativo para las comunicaciones entre el profesorado, con el alumnado y el resto de la comunidad educativa.</w:t>
      </w:r>
    </w:p>
    <w:p>
      <w:pPr>
        <w:pStyle w:val="ListParagraph"/>
        <w:numPr>
          <w:ilvl w:val="0"/>
          <w:numId w:val="8"/>
        </w:numPr>
        <w:ind w:left="567" w:hanging="283"/>
        <w:jc w:val="both"/>
        <w:rPr/>
      </w:pPr>
      <w:r>
        <w:rPr>
          <w:rFonts w:eastAsia="Cambria" w:cs="Calibri" w:cstheme="minorHAnsi"/>
          <w:sz w:val="22"/>
          <w:szCs w:val="22"/>
        </w:rPr>
        <w:t>Búsqueda crítica de información en Internet y utilizarla en la elaboración de trabajos o proyectos por parte del alumnado.</w:t>
      </w:r>
    </w:p>
    <w:p>
      <w:pPr>
        <w:pStyle w:val="ListParagraph"/>
        <w:numPr>
          <w:ilvl w:val="0"/>
          <w:numId w:val="8"/>
        </w:numPr>
        <w:ind w:left="567" w:hanging="283"/>
        <w:jc w:val="both"/>
        <w:rPr/>
      </w:pPr>
      <w:r>
        <w:rPr>
          <w:rFonts w:eastAsia="Cambria" w:cs="Calibri" w:cstheme="minorHAnsi"/>
          <w:sz w:val="22"/>
          <w:szCs w:val="22"/>
        </w:rPr>
        <w:t>Elaboración de trabajos, informes, dibujos, gráficas, presentaciones, exposiciones relacionadas con distintas materias y que supongan el uso de distintos programas informáticos.</w:t>
      </w:r>
    </w:p>
    <w:p>
      <w:pPr>
        <w:pStyle w:val="Normal"/>
        <w:jc w:val="both"/>
        <w:rPr>
          <w:rFonts w:ascii="Calibri" w:hAnsi="Calibri" w:eastAsia="Cambria" w:cs="Calibri" w:cstheme="minorHAnsi"/>
          <w:sz w:val="22"/>
          <w:szCs w:val="22"/>
        </w:rPr>
      </w:pPr>
      <w:r>
        <w:rPr>
          <w:rFonts w:eastAsia="Cambria" w:cs="Calibri" w:cstheme="minorHAnsi"/>
          <w:sz w:val="22"/>
          <w:szCs w:val="22"/>
        </w:rPr>
      </w:r>
    </w:p>
    <w:p>
      <w:pPr>
        <w:pStyle w:val="Normal"/>
        <w:jc w:val="both"/>
        <w:rPr>
          <w:rFonts w:ascii="Calibri" w:hAnsi="Calibri" w:eastAsia="Cambria" w:cs="Calibri" w:cstheme="minorHAnsi"/>
          <w:sz w:val="22"/>
          <w:szCs w:val="22"/>
        </w:rPr>
      </w:pPr>
      <w:r>
        <w:rPr>
          <w:rFonts w:eastAsia="Cambria" w:cs="Calibri" w:cstheme="minorHAnsi"/>
          <w:sz w:val="22"/>
          <w:szCs w:val="22"/>
        </w:rPr>
      </w:r>
    </w:p>
    <w:p>
      <w:pPr>
        <w:pStyle w:val="Normal"/>
        <w:jc w:val="both"/>
        <w:rPr/>
      </w:pPr>
      <w:r>
        <w:rPr>
          <w:rFonts w:eastAsia="Cambria" w:cs="Calibri" w:cstheme="minorHAnsi"/>
          <w:b/>
          <w:sz w:val="22"/>
          <w:szCs w:val="22"/>
          <w:u w:val="single"/>
        </w:rPr>
        <w:t>13. EN SU CASO, MEDIDAS COMPLEMENTARIAS QUE SE PLANTEAN PARA EL TRATAMIENTO DE LAS MATERIAS DENTRO DEL PROYECTO BILINGÜE</w:t>
      </w:r>
    </w:p>
    <w:p>
      <w:pPr>
        <w:pStyle w:val="Normal"/>
        <w:jc w:val="both"/>
        <w:rPr/>
      </w:pPr>
      <w:r>
        <w:rPr>
          <w:rFonts w:eastAsia="Cambria" w:cs="Calibri" w:cstheme="minorHAnsi"/>
          <w:sz w:val="22"/>
          <w:szCs w:val="22"/>
        </w:rPr>
        <w:t xml:space="preserve">La materia de Física y química no se imparte en el programa Bilingüe en 4º de ESO en este centro. </w:t>
      </w:r>
    </w:p>
    <w:p>
      <w:pPr>
        <w:pStyle w:val="Normal"/>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cs="Calibri" w:cstheme="minorHAnsi"/>
          <w:b/>
          <w:sz w:val="22"/>
          <w:szCs w:val="22"/>
          <w:u w:val="single"/>
        </w:rPr>
        <w:t>14. MECANISMOS DE REVISIÓN, EVALUACIÓN Y MODIFICACIÓN DE LAS PROGRAMACIONES DIDÁCTICAS</w:t>
      </w:r>
    </w:p>
    <w:p>
      <w:pPr>
        <w:pStyle w:val="Normal"/>
        <w:spacing w:before="0" w:after="0"/>
        <w:ind w:firstLine="284"/>
        <w:jc w:val="both"/>
        <w:rPr/>
      </w:pPr>
      <w:r>
        <w:rPr>
          <w:rFonts w:cs="Calibri" w:cstheme="minorHAnsi"/>
          <w:sz w:val="22"/>
          <w:szCs w:val="22"/>
        </w:rPr>
        <w:t xml:space="preserve">En primer lugar es necesario revisar la programación al principio del curso para comprobar que cumple con la legislación vigente (ya que puede ser modificada) y que está adaptada al grupo de alumnos del curso que se va a iniciar. En este momento se pueden realizar algunas modificaciones, especialmente en cuanto a las concreciones metodológicas y en relación a las Medidas de Atención a la Diversidad, con el fin de adaptar la Programación a la realidad del grupo antes de que sea incorporada a la Programación General Anual. </w:t>
      </w:r>
    </w:p>
    <w:p>
      <w:pPr>
        <w:pStyle w:val="Normal"/>
        <w:spacing w:before="0" w:after="0"/>
        <w:ind w:firstLine="284"/>
        <w:jc w:val="both"/>
        <w:rPr>
          <w:rFonts w:ascii="Calibri" w:hAnsi="Calibri" w:cs="Calibri" w:cstheme="minorHAnsi"/>
          <w:sz w:val="22"/>
          <w:szCs w:val="22"/>
        </w:rPr>
      </w:pPr>
      <w:r>
        <w:rPr>
          <w:rFonts w:cs="Calibri" w:cstheme="minorHAnsi"/>
          <w:sz w:val="22"/>
          <w:szCs w:val="22"/>
        </w:rPr>
      </w:r>
    </w:p>
    <w:p>
      <w:pPr>
        <w:pStyle w:val="Normal"/>
        <w:spacing w:before="0" w:after="0"/>
        <w:ind w:firstLine="284"/>
        <w:jc w:val="both"/>
        <w:rPr/>
      </w:pPr>
      <w:r>
        <w:rPr>
          <w:rFonts w:cs="Calibri" w:cstheme="minorHAnsi"/>
          <w:sz w:val="22"/>
          <w:szCs w:val="22"/>
        </w:rPr>
        <w:t>Durante el desarrollo del curso, el grado de cumplimiento de la programación de cada materia se valora mensualmente en una de las Reuniones de Departamento. De esta forma se pueden detectar desviaciones entre los diferentes grupos de un mismo nivel, por ejemplo. Para realizar un seguimiento adecuado del cumplimiento de la programación se puede utilizar la hoja Excel Cuaderno del Profesor, que es una herramienta muy útil para que el propio docente compruebe que el número de sesiones asignadas a cada UD es correcto y que no se producen desviaciones significativas. En caso de ausencias imprevistas del docente, con esta herramienta se dispone de una visión global del desarrollo de las UD y se pueden proponer mecanismos de corrección de una forma más intuitiva.</w:t>
      </w:r>
    </w:p>
    <w:p>
      <w:pPr>
        <w:pStyle w:val="Normal"/>
        <w:spacing w:before="0" w:after="0"/>
        <w:ind w:firstLine="284"/>
        <w:jc w:val="both"/>
        <w:rPr>
          <w:rFonts w:ascii="Calibri" w:hAnsi="Calibri" w:cs="Calibri" w:cstheme="minorHAnsi"/>
          <w:sz w:val="22"/>
          <w:szCs w:val="22"/>
        </w:rPr>
      </w:pPr>
      <w:r>
        <w:rPr>
          <w:rFonts w:cs="Calibri" w:cstheme="minorHAnsi"/>
          <w:sz w:val="22"/>
          <w:szCs w:val="22"/>
        </w:rPr>
      </w:r>
    </w:p>
    <w:p>
      <w:pPr>
        <w:pStyle w:val="Normal"/>
        <w:spacing w:before="0" w:after="0"/>
        <w:ind w:firstLine="284"/>
        <w:jc w:val="both"/>
        <w:rPr/>
      </w:pPr>
      <w:r>
        <w:rPr>
          <w:rFonts w:cs="Calibri" w:cstheme="minorHAnsi"/>
          <w:sz w:val="22"/>
          <w:szCs w:val="22"/>
        </w:rPr>
        <w:t xml:space="preserve">Al menos en una ocasión durante el curso, los alumnos/as de cada grupo podrán contestar voluntariamente a unos cuestionarios online en relación al proceso enseñanza-aprendizaje, al clima de clase y a su propio esfuerzo. Las respuestas de los alumnos/as a estos cuestionarios son un elemento muy valioso como retroalimentación de lo planteado en esta Programación (actividades, metodología, secuenciación, evaluación, etc.) y de la labor docente. El análisis de estas respuestas puede servir para corregir errores sistemáticos, para incorporar mejoras propuestas por los alumnos/as y, en definitiva, para optimizar la Programación Didáctica y el proceso enseñanza-aprendizaje. </w:t>
      </w:r>
    </w:p>
    <w:p>
      <w:pPr>
        <w:pStyle w:val="Normal"/>
        <w:tabs>
          <w:tab w:val="clear" w:pos="720"/>
          <w:tab w:val="left" w:pos="284" w:leader="none"/>
        </w:tabs>
        <w:spacing w:before="0" w:after="0"/>
        <w:ind w:firstLine="284"/>
        <w:jc w:val="both"/>
        <w:rPr>
          <w:rFonts w:ascii="Calibri" w:hAnsi="Calibri" w:cs="Calibri" w:cstheme="minorHAnsi"/>
          <w:sz w:val="22"/>
          <w:szCs w:val="22"/>
        </w:rPr>
      </w:pPr>
      <w:r>
        <w:rPr>
          <w:rFonts w:cs="Calibri" w:cstheme="minorHAnsi"/>
          <w:sz w:val="22"/>
          <w:szCs w:val="22"/>
        </w:rPr>
      </w:r>
    </w:p>
    <w:p>
      <w:pPr>
        <w:pStyle w:val="Normal"/>
        <w:tabs>
          <w:tab w:val="clear" w:pos="720"/>
          <w:tab w:val="left" w:pos="284" w:leader="none"/>
        </w:tabs>
        <w:spacing w:before="0" w:after="0"/>
        <w:ind w:firstLine="284"/>
        <w:jc w:val="both"/>
        <w:rPr/>
      </w:pPr>
      <w:r>
        <w:rPr>
          <w:rFonts w:cs="Calibri" w:cstheme="minorHAnsi"/>
          <w:sz w:val="22"/>
          <w:szCs w:val="22"/>
        </w:rPr>
        <w:t xml:space="preserve">Por otra parte, se realizará una evaluación de los resultados académicos obtenidos por los diferentes grupos de alumnos/as en la materia en este curso, comparándolos con los obtenidos en años anteriores y con la media de la comunidad autónoma de Aragón para cada nivel. Como consecuencia de dicho análisis se establecerán una serie de medidas destinadas a la mejora de dichos resultados que aparecerán recogidas en la Memoria del Departamento. </w:t>
      </w:r>
    </w:p>
    <w:p>
      <w:pPr>
        <w:pStyle w:val="Normal"/>
        <w:spacing w:before="0" w:after="0"/>
        <w:ind w:firstLine="284"/>
        <w:jc w:val="both"/>
        <w:rPr>
          <w:rFonts w:ascii="Calibri" w:hAnsi="Calibri"/>
          <w:sz w:val="22"/>
          <w:szCs w:val="22"/>
        </w:rPr>
      </w:pPr>
      <w:r>
        <w:rPr>
          <w:sz w:val="22"/>
          <w:szCs w:val="22"/>
        </w:rPr>
      </w:r>
    </w:p>
    <w:p>
      <w:pPr>
        <w:pStyle w:val="Normal"/>
        <w:spacing w:before="0" w:after="0"/>
        <w:ind w:firstLine="284"/>
        <w:jc w:val="both"/>
        <w:rPr/>
      </w:pPr>
      <w:r>
        <w:rPr>
          <w:rFonts w:cs="Calibri" w:cstheme="minorHAnsi"/>
          <w:sz w:val="22"/>
          <w:szCs w:val="22"/>
        </w:rPr>
        <w:t xml:space="preserve">Finalmente, se procederá a revisar la programación una vez que el curso ha terminado para la elaboración de la Memoria del Departamento. En este punto y a la vista del grado de cumplimiento global de la programación, de los resultados académicos del grupo, de las evaluaciones de los alumnos se puede hacer una valoración más nítida y precisa del proceso enseñanza-aprendizaje. Es en ese momento cuando se pueden proponer modificaciones de la programación como respuesta a desajustes o a propuestas de alumnos/as o de otros docentes del departamento. No obstante, cualquier modificación significativa deberá tener una justificación que la considere necesaria. </w:t>
      </w:r>
    </w:p>
    <w:p>
      <w:pPr>
        <w:pStyle w:val="Normal"/>
        <w:jc w:val="both"/>
        <w:rPr>
          <w:rFonts w:ascii="Calibri" w:hAnsi="Calibri" w:eastAsia="Cambria"/>
          <w:b/>
          <w:b/>
          <w:sz w:val="22"/>
          <w:szCs w:val="22"/>
          <w:u w:val="single"/>
        </w:rPr>
      </w:pPr>
      <w:r>
        <w:rPr>
          <w:rFonts w:eastAsia="Cambria"/>
          <w:b/>
          <w:sz w:val="22"/>
          <w:szCs w:val="22"/>
          <w:u w:val="single"/>
        </w:rPr>
      </w:r>
    </w:p>
    <w:p>
      <w:pPr>
        <w:pStyle w:val="Normal"/>
        <w:jc w:val="both"/>
        <w:rPr/>
      </w:pPr>
      <w:r>
        <w:rPr>
          <w:rFonts w:eastAsia="Cambria"/>
          <w:b/>
          <w:sz w:val="22"/>
          <w:szCs w:val="22"/>
          <w:u w:val="single"/>
        </w:rPr>
        <w:t>15. ACTIVIDADES COMPLEMENTARIAS Y EXTRAESCOLARES</w:t>
      </w:r>
    </w:p>
    <w:p>
      <w:pPr>
        <w:pStyle w:val="Normal"/>
        <w:tabs>
          <w:tab w:val="clear" w:pos="720"/>
          <w:tab w:val="left" w:pos="284" w:leader="none"/>
        </w:tabs>
        <w:ind w:firstLine="284"/>
        <w:jc w:val="both"/>
        <w:rPr/>
      </w:pPr>
      <w:r>
        <w:rPr>
          <w:sz w:val="22"/>
          <w:szCs w:val="22"/>
        </w:rPr>
        <w:t xml:space="preserve">Para este curso se propone la visita al museo de Mobility en el pabellón puente en Zaragoza a los alumnos que cursen la asignatura de Física y Química. </w:t>
      </w:r>
    </w:p>
    <w:p>
      <w:pPr>
        <w:pStyle w:val="Normal"/>
        <w:tabs>
          <w:tab w:val="clear" w:pos="720"/>
          <w:tab w:val="left" w:pos="284" w:leader="none"/>
        </w:tabs>
        <w:ind w:firstLine="284"/>
        <w:jc w:val="both"/>
        <w:rPr>
          <w:rFonts w:ascii="Calibri" w:hAnsi="Calibri"/>
          <w:sz w:val="22"/>
          <w:szCs w:val="22"/>
        </w:rPr>
      </w:pPr>
      <w:r>
        <w:rPr>
          <w:sz w:val="22"/>
          <w:szCs w:val="22"/>
        </w:rPr>
      </w:r>
    </w:p>
    <w:p>
      <w:pPr>
        <w:pStyle w:val="Normal"/>
        <w:jc w:val="both"/>
        <w:rPr/>
      </w:pPr>
      <w:r>
        <w:rPr>
          <w:rFonts w:eastAsia="Cambria"/>
          <w:b/>
          <w:sz w:val="22"/>
          <w:szCs w:val="22"/>
          <w:u w:val="single"/>
        </w:rPr>
        <w:t>16. FORMA EN LA QUE SE DAN A CONOCER LOS ASPECTOS RELEVANTES DE ESTA PROGRAMACIÓN AL ALUMNADO Y LAS FAMILIAS</w:t>
      </w:r>
    </w:p>
    <w:p>
      <w:pPr>
        <w:pStyle w:val="Normal"/>
        <w:tabs>
          <w:tab w:val="clear" w:pos="720"/>
          <w:tab w:val="left" w:pos="284" w:leader="none"/>
        </w:tabs>
        <w:ind w:firstLine="284"/>
        <w:jc w:val="both"/>
        <w:rPr/>
      </w:pPr>
      <w:r>
        <w:rPr>
          <w:color w:val="000000"/>
          <w:sz w:val="22"/>
          <w:szCs w:val="22"/>
        </w:rPr>
        <w:t xml:space="preserve">Con el fin de que todos los alumnos/as y sus familias conozcan lo que se les exige para superar la materia de Física y Química en 4º de ESO, se realizarán las siguientes acciones: </w:t>
      </w:r>
    </w:p>
    <w:p>
      <w:pPr>
        <w:pStyle w:val="Normal"/>
        <w:numPr>
          <w:ilvl w:val="0"/>
          <w:numId w:val="7"/>
        </w:numPr>
        <w:tabs>
          <w:tab w:val="clear" w:pos="720"/>
          <w:tab w:val="left" w:pos="284" w:leader="none"/>
        </w:tabs>
        <w:spacing w:before="0" w:after="0"/>
        <w:jc w:val="both"/>
        <w:rPr/>
      </w:pPr>
      <w:r>
        <w:rPr>
          <w:color w:val="000000"/>
          <w:sz w:val="22"/>
          <w:szCs w:val="22"/>
        </w:rPr>
        <w:t xml:space="preserve">El profesor de cada grupo informará a todos los alumnos/as en clase de los criterios de calificación y de los instrumentos de evaluación.  </w:t>
      </w:r>
    </w:p>
    <w:p>
      <w:pPr>
        <w:pStyle w:val="Normal"/>
        <w:numPr>
          <w:ilvl w:val="0"/>
          <w:numId w:val="7"/>
        </w:numPr>
        <w:tabs>
          <w:tab w:val="clear" w:pos="720"/>
          <w:tab w:val="left" w:pos="284" w:leader="none"/>
        </w:tabs>
        <w:spacing w:before="0" w:after="0"/>
        <w:jc w:val="both"/>
        <w:rPr/>
      </w:pPr>
      <w:r>
        <w:rPr>
          <w:color w:val="000000"/>
          <w:sz w:val="22"/>
          <w:szCs w:val="22"/>
        </w:rPr>
        <w:t xml:space="preserve">En la sección del Departamento de Física y Química de la página web del centro se publicarán los contenidos mínimos de la materia en 4º de ESO y los criterios de calificación. </w:t>
      </w:r>
    </w:p>
    <w:p>
      <w:pPr>
        <w:pStyle w:val="Normal"/>
        <w:numPr>
          <w:ilvl w:val="0"/>
          <w:numId w:val="7"/>
        </w:numPr>
        <w:tabs>
          <w:tab w:val="clear" w:pos="720"/>
          <w:tab w:val="left" w:pos="284" w:leader="none"/>
        </w:tabs>
        <w:jc w:val="both"/>
        <w:rPr/>
      </w:pPr>
      <w:r>
        <w:rPr>
          <w:color w:val="000000"/>
          <w:sz w:val="22"/>
          <w:szCs w:val="22"/>
        </w:rPr>
        <w:t xml:space="preserve">Tanto en el Departamento de Física y Química como en Jefatura de Estudios se dispone de una copia de esta programación a disposición de los alumnos/as y sus familias para su consulta. </w:t>
      </w:r>
    </w:p>
    <w:p>
      <w:pPr>
        <w:pStyle w:val="Normal"/>
        <w:tabs>
          <w:tab w:val="clear" w:pos="720"/>
          <w:tab w:val="left" w:pos="284" w:leader="none"/>
        </w:tabs>
        <w:ind w:firstLine="284"/>
        <w:jc w:val="both"/>
        <w:rPr/>
      </w:pPr>
      <w:r>
        <w:rPr>
          <w:color w:val="000000"/>
          <w:sz w:val="22"/>
          <w:szCs w:val="22"/>
        </w:rPr>
        <w:t xml:space="preserve">Asimismo, en cualquier momento los profesores de la materia pueden responder a todas aquellas cuestiones que les puedan surgir a los alumnos/as o a sus familias respecto a esta programación didáctica. </w:t>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pStyle w:val="Normal"/>
        <w:widowControl/>
        <w:pBdr/>
        <w:shd w:val="clear" w:fill="auto"/>
        <w:spacing w:lineRule="auto" w:line="240" w:before="0" w:after="200"/>
        <w:ind w:left="0" w:right="0" w:hanging="0"/>
        <w:jc w:val="both"/>
        <w:rPr/>
      </w:pPr>
      <w:r>
        <w:rPr/>
      </w:r>
    </w:p>
    <w:p>
      <w:pPr>
        <w:sectPr>
          <w:headerReference w:type="default" r:id="rId6"/>
          <w:footerReference w:type="default" r:id="rId7"/>
          <w:type w:val="nextPage"/>
          <w:pgSz w:w="11906" w:h="16838"/>
          <w:pgMar w:left="1701" w:right="1701" w:header="708" w:top="1417" w:footer="708" w:bottom="1417" w:gutter="0"/>
          <w:pgNumType w:start="1" w:fmt="decimal"/>
          <w:formProt w:val="false"/>
          <w:titlePg/>
          <w:textDirection w:val="lrTb"/>
          <w:docGrid w:type="default" w:linePitch="100" w:charSpace="4096"/>
        </w:sectPr>
        <w:pStyle w:val="Normal"/>
        <w:widowControl/>
        <w:pBdr/>
        <w:shd w:val="clear" w:fill="auto"/>
        <w:spacing w:lineRule="auto" w:line="240" w:before="0" w:after="200"/>
        <w:ind w:left="0" w:right="0" w:hanging="0"/>
        <w:jc w:val="both"/>
        <w:rPr/>
      </w:pPr>
      <w:r>
        <w:rPr/>
      </w:r>
    </w:p>
    <w:p>
      <w:pPr>
        <w:pStyle w:val="Normal"/>
        <w:rPr>
          <w:u w:val="single"/>
        </w:rPr>
      </w:pPr>
      <w:r>
        <w:rPr>
          <w:u w:val="single"/>
        </w:rPr>
      </w:r>
    </w:p>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tbl>
      <w:tblPr>
        <w:tblStyle w:val="a0"/>
        <w:tblW w:w="8479" w:type="dxa"/>
        <w:jc w:val="left"/>
        <w:tblInd w:w="0" w:type="dxa"/>
        <w:tblCellMar>
          <w:top w:w="0" w:type="dxa"/>
          <w:left w:w="108" w:type="dxa"/>
          <w:bottom w:w="0" w:type="dxa"/>
          <w:right w:w="108" w:type="dxa"/>
        </w:tblCellMar>
        <w:tblLook w:firstRow="1" w:noVBand="1" w:lastRow="0" w:firstColumn="1" w:lastColumn="0" w:noHBand="0" w:val="04a0"/>
      </w:tblPr>
      <w:tblGrid>
        <w:gridCol w:w="3226"/>
        <w:gridCol w:w="5252"/>
      </w:tblGrid>
      <w:tr>
        <w:trPr>
          <w:trHeight w:val="2470" w:hRule="atLeast"/>
          <w:cnfStyle w:val="100000000000" w:firstRow="1" w:lastRow="0" w:firstColumn="0" w:lastColumn="0" w:oddVBand="0" w:evenVBand="0" w:oddHBand="0" w:evenHBand="0" w:firstRowFirstColumn="0" w:firstRowLastColumn="0" w:lastRowFirstColumn="0" w:lastRowLastColumn="0"/>
        </w:trPr>
        <w:tc>
          <w:tcPr>
            <w:tcW w:w="3226" w:type="dxa"/>
            <w:cnfStyle w:val="001000000000" w:firstRow="0" w:lastRow="0" w:firstColumn="1" w:lastColumn="0" w:oddVBand="0" w:evenVBand="0" w:oddHBand="0" w:evenHBand="0" w:firstRowFirstColumn="0" w:firstRowLastColumn="0" w:lastRowFirstColumn="0" w:lastRowLastColumn="0"/>
            <w:tcBorders>
              <w:top w:val="single" w:sz="8" w:space="0" w:color="4F81BD"/>
              <w:bottom w:val="single" w:sz="8" w:space="0" w:color="4F81BD"/>
            </w:tcBorders>
            <w:shd w:color="auto" w:fill="548DD4" w:val="clear"/>
          </w:tcPr>
          <w:p>
            <w:pPr>
              <w:pStyle w:val="Normal"/>
              <w:jc w:val="center"/>
              <w:rPr/>
            </w:pPr>
            <w:r>
              <w:rPr>
                <w:color w:val="FFFFFF"/>
                <w:sz w:val="28"/>
                <w:szCs w:val="28"/>
              </w:rPr>
              <w:t xml:space="preserve">IES LA PUEBLA DE  </w:t>
            </w:r>
          </w:p>
          <w:p>
            <w:pPr>
              <w:pStyle w:val="Normal"/>
              <w:spacing w:before="0" w:after="200"/>
              <w:jc w:val="center"/>
              <w:rPr/>
            </w:pPr>
            <w:r>
              <w:rPr>
                <w:color w:val="FFFFFF"/>
                <w:sz w:val="28"/>
                <w:szCs w:val="28"/>
              </w:rPr>
              <w:t xml:space="preserve">             </w:t>
            </w:r>
            <w:r>
              <w:rPr>
                <w:color w:val="FFFFFF"/>
                <w:sz w:val="28"/>
                <w:szCs w:val="28"/>
              </w:rPr>
              <w:t>ALFINDÉN</w:t>
            </w:r>
          </w:p>
        </w:tc>
        <w:tc>
          <w:tcPr>
            <w:tcW w:w="5252" w:type="dxa"/>
            <w:tcBorders>
              <w:top w:val="single" w:sz="8" w:space="0" w:color="4F81BD"/>
              <w:bottom w:val="single" w:sz="8" w:space="0" w:color="4F81BD"/>
            </w:tcBorders>
            <w:shd w:color="auto" w:fill="auto" w:val="clear"/>
          </w:tcPr>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b w:val="false"/>
                <w:color w:val="1F497D"/>
                <w:sz w:val="28"/>
                <w:szCs w:val="28"/>
              </w:rPr>
              <w:t>PROGRAMACIÓN DIDÁCTICA DE (NOMBRE DE MATERIA)</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color w:val="1F497D"/>
                <w:sz w:val="28"/>
                <w:szCs w:val="28"/>
              </w:rPr>
            </w:pPr>
            <w:r>
              <w:rPr>
                <w:color w:val="1F497D"/>
                <w:sz w:val="28"/>
                <w:szCs w:val="28"/>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b w:val="false"/>
                <w:color w:val="1F497D"/>
              </w:rPr>
              <w:t>BACHILLERATO</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color w:val="1F497D"/>
              </w:rPr>
            </w:pPr>
            <w:r>
              <w:rPr>
                <w:color w:val="1F497D"/>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bookmarkStart w:id="12" w:name="_heading=h.gjdgxs3"/>
            <w:bookmarkEnd w:id="12"/>
            <w:r>
              <w:rPr>
                <w:b w:val="false"/>
                <w:color w:val="1F497D"/>
              </w:rPr>
              <w:t>CURSO 2025-2026</w:t>
            </w:r>
            <w:bookmarkStart w:id="13" w:name="_GoBack1"/>
            <w:bookmarkEnd w:id="13"/>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r>
          </w:p>
          <w:p>
            <w:pPr>
              <w:pStyle w:val="Normal"/>
              <w:spacing w:before="0" w:after="200"/>
              <w:cnfStyle w:val="100000000000" w:firstRow="1" w:lastRow="0" w:firstColumn="0" w:lastColumn="0" w:oddVBand="0" w:evenVBand="0" w:oddHBand="0" w:evenHBand="0" w:firstRowFirstColumn="0" w:firstRowLastColumn="0" w:lastRowFirstColumn="0" w:lastRowLastColumn="0"/>
              <w:rPr>
                <w:u w:val="single"/>
              </w:rPr>
            </w:pPr>
            <w:r>
              <w:rPr>
                <w:u w:val="single"/>
              </w:rPr>
            </w:r>
          </w:p>
        </w:tc>
      </w:tr>
    </w:tbl>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p>
      <w:pPr>
        <w:pStyle w:val="Normal"/>
        <w:jc w:val="both"/>
        <w:rPr/>
      </w:pPr>
      <w:r>
        <w:br w:type="column"/>
      </w:r>
      <w:r>
        <w:rPr>
          <w:rFonts w:eastAsia="Cambria" w:cs="Cambria" w:ascii="Cambria" w:hAnsi="Cambria"/>
          <w:b/>
          <w:u w:val="single"/>
        </w:rPr>
        <w:t>ÍNDICE</w:t>
      </w:r>
    </w:p>
    <w:p>
      <w:pPr>
        <w:pStyle w:val="Normal"/>
        <w:jc w:val="both"/>
        <w:rPr/>
      </w:pPr>
      <w:r>
        <w:rPr>
          <w:rFonts w:eastAsia="Cambria" w:cs="Cambria" w:ascii="Cambria" w:hAnsi="Cambria"/>
        </w:rPr>
        <w:t>INTRODUCCIÓN</w:t>
      </w:r>
    </w:p>
    <w:p>
      <w:pPr>
        <w:pStyle w:val="Normal"/>
        <w:jc w:val="both"/>
        <w:rPr/>
      </w:pPr>
      <w:r>
        <w:rPr>
          <w:rFonts w:eastAsia="Cambria" w:cs="Cambria" w:ascii="Cambria" w:hAnsi="Cambria"/>
        </w:rPr>
        <w:t>1. COMPETENCIAS ESPECÍFICAS Y CRITERIOS DE EVALUACIÓN ASOCIADOS A ELLAS</w:t>
      </w:r>
    </w:p>
    <w:p>
      <w:pPr>
        <w:pStyle w:val="Normal"/>
        <w:jc w:val="both"/>
        <w:rPr/>
      </w:pPr>
      <w:r>
        <w:rPr>
          <w:rFonts w:eastAsia="Cambria" w:cs="Cambria" w:ascii="Cambria" w:hAnsi="Cambria"/>
        </w:rPr>
        <w:t>2. CONCRECIÓN, AGRUPAMIENTO Y SECUENCIACIÓN DE LOS SABERES BÁSICOS Y DE LOS CRITERIOS DE EVALUACIÓN EN UNIDADES DIDÁCTICAS</w:t>
      </w:r>
    </w:p>
    <w:p>
      <w:pPr>
        <w:pStyle w:val="Normal"/>
        <w:jc w:val="both"/>
        <w:rPr/>
      </w:pPr>
      <w:r>
        <w:rPr>
          <w:rFonts w:eastAsia="Cambria" w:cs="Cambria" w:ascii="Cambria" w:hAnsi="Cambria"/>
        </w:rPr>
        <w:t>3. PROCEDIMIENTOS E INSTRUMENTOS DE EVALUACIÓN</w:t>
      </w:r>
    </w:p>
    <w:p>
      <w:pPr>
        <w:pStyle w:val="Normal"/>
        <w:jc w:val="both"/>
        <w:rPr/>
      </w:pPr>
      <w:r>
        <w:rPr>
          <w:rFonts w:eastAsia="Cambria" w:cs="Cambria" w:ascii="Cambria" w:hAnsi="Cambria"/>
        </w:rPr>
        <w:t>4. CRITERIOS DE CALIFICACIÓN</w:t>
      </w:r>
    </w:p>
    <w:p>
      <w:pPr>
        <w:pStyle w:val="Normal"/>
        <w:jc w:val="both"/>
        <w:rPr/>
      </w:pPr>
      <w:r>
        <w:rPr>
          <w:rFonts w:eastAsia="Cambria" w:cs="Cambria" w:ascii="Cambria" w:hAnsi="Cambria"/>
        </w:rPr>
        <w:t>5. EVALUACIÓN INICIAL</w:t>
      </w:r>
    </w:p>
    <w:p>
      <w:pPr>
        <w:pStyle w:val="Normal"/>
        <w:jc w:val="both"/>
        <w:rPr/>
      </w:pPr>
      <w:r>
        <w:rPr>
          <w:rFonts w:eastAsia="Cambria" w:cs="Cambria" w:ascii="Cambria" w:hAnsi="Cambria"/>
        </w:rPr>
        <w:t>6. EVALUACIÓN EXTRAORDINARIA</w:t>
      </w:r>
    </w:p>
    <w:p>
      <w:pPr>
        <w:pStyle w:val="Normal"/>
        <w:jc w:val="both"/>
        <w:rPr/>
      </w:pPr>
      <w:r>
        <w:rPr>
          <w:rFonts w:eastAsia="Cambria" w:cs="Cambria" w:ascii="Cambria" w:hAnsi="Cambria"/>
        </w:rPr>
        <w:t>7. ACTUACIONES GENERALES DE ATENCIÓN A LAS DIFERENCIAS INDIVIDUALES</w:t>
      </w:r>
    </w:p>
    <w:p>
      <w:pPr>
        <w:pStyle w:val="Normal"/>
        <w:jc w:val="both"/>
        <w:rPr/>
      </w:pPr>
      <w:r>
        <w:rPr>
          <w:rFonts w:eastAsia="Cambria" w:cs="Cambria" w:ascii="Cambria" w:hAnsi="Cambria"/>
        </w:rPr>
        <w:t xml:space="preserve">8. PLAN DE RECUPERACIÓN DE MATERIAS PENDIENTES </w:t>
      </w:r>
    </w:p>
    <w:p>
      <w:pPr>
        <w:pStyle w:val="Normal"/>
        <w:jc w:val="both"/>
        <w:rPr/>
      </w:pPr>
      <w:r>
        <w:rPr>
          <w:rFonts w:eastAsia="Cambria" w:cs="Cambria" w:ascii="Cambria" w:hAnsi="Cambria"/>
        </w:rPr>
        <w:t>9. ESTRATEGIAS DIDÁCTICAS Y METODOLÓGICAS</w:t>
      </w:r>
    </w:p>
    <w:p>
      <w:pPr>
        <w:pStyle w:val="Normal"/>
        <w:jc w:val="both"/>
        <w:rPr/>
      </w:pPr>
      <w:r>
        <w:rPr>
          <w:rFonts w:eastAsia="Cambria" w:cs="Cambria" w:ascii="Cambria" w:hAnsi="Cambria"/>
        </w:rPr>
        <w:t>10. CONCRECIÓN DEL PLAN DE IMPLEMENTACIÓN DE ELEMENTOS TRANSVERSALES</w:t>
      </w:r>
    </w:p>
    <w:p>
      <w:pPr>
        <w:pStyle w:val="Normal"/>
        <w:jc w:val="both"/>
        <w:rPr/>
      </w:pPr>
      <w:r>
        <w:rPr>
          <w:rFonts w:eastAsia="Cambria" w:cs="Cambria" w:ascii="Cambria" w:hAnsi="Cambria"/>
        </w:rPr>
        <w:t xml:space="preserve">11. CONCRECIÓN DEL PLAN DE UTILIZACIÓN DE LAS TECNOLOGÍAS DIGITALES </w:t>
      </w:r>
    </w:p>
    <w:p>
      <w:pPr>
        <w:pStyle w:val="Normal"/>
        <w:jc w:val="both"/>
        <w:rPr/>
      </w:pPr>
      <w:r>
        <w:rPr>
          <w:rFonts w:eastAsia="Cambria" w:cs="Cambria" w:ascii="Cambria" w:hAnsi="Cambria"/>
        </w:rPr>
        <w:t>12. MECANISMOS DE REVISIÓN, EVALUACIÓN Y MODIFICACIÓN DE LAS PROGRAMACIONES DIDÁCTICAS</w:t>
      </w:r>
    </w:p>
    <w:p>
      <w:pPr>
        <w:pStyle w:val="Normal"/>
        <w:jc w:val="both"/>
        <w:rPr/>
      </w:pPr>
      <w:r>
        <w:rPr>
          <w:rFonts w:eastAsia="Cambria" w:cs="Cambria" w:ascii="Cambria" w:hAnsi="Cambria"/>
        </w:rPr>
        <w:t>13. ACTIVIDADES COMPLEMENTARIAS Y EXTRAESCOLARES</w:t>
      </w:r>
    </w:p>
    <w:p>
      <w:pPr>
        <w:pStyle w:val="Normal"/>
        <w:jc w:val="both"/>
        <w:rPr/>
      </w:pPr>
      <w:r>
        <w:rPr>
          <w:rFonts w:eastAsia="Cambria" w:cs="Cambria" w:ascii="Cambria" w:hAnsi="Cambria"/>
        </w:rPr>
        <w:t>14. FORMA EN LA QUE SE DAN A CONOCER LOS ASPECTOS RELEVANTES DE ESTA PROGRAMACIÓN AL ALUMNADO Y LAS FAMILIAS</w:t>
      </w:r>
    </w:p>
    <w:p>
      <w:pPr>
        <w:pStyle w:val="Normal"/>
        <w:jc w:val="both"/>
        <w:rPr/>
      </w:pPr>
      <w:r>
        <w:rPr>
          <w:rFonts w:eastAsia="Cambria" w:cs="Cambria" w:ascii="Cambria" w:hAnsi="Cambria"/>
        </w:rPr>
        <w:t>15. OTRAS CONSIDERACIONES</w:t>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pPr>
      <w:r>
        <w:rPr>
          <w:rFonts w:eastAsia="Cambria" w:cs="Cambria" w:ascii="Cambria" w:hAnsi="Cambria"/>
          <w:b/>
          <w:u w:val="single"/>
        </w:rPr>
        <w:t>INTRODUCCIÓN</w:t>
      </w:r>
    </w:p>
    <w:p>
      <w:pPr>
        <w:pStyle w:val="Normal"/>
        <w:jc w:val="both"/>
        <w:rPr/>
      </w:pPr>
      <w:r>
        <w:rPr>
          <w:rFonts w:eastAsia="Cambria" w:cs="Cambria" w:ascii="Cambria" w:hAnsi="Cambria"/>
        </w:rPr>
        <w:t>Programación Didáctica de la materia “NOMBRE”, perteneciente a _____ de Bachillerato.</w:t>
      </w:r>
    </w:p>
    <w:p>
      <w:pPr>
        <w:pStyle w:val="Normal"/>
        <w:jc w:val="both"/>
        <w:rPr/>
      </w:pPr>
      <w:r>
        <w:rPr>
          <w:rFonts w:eastAsia="Cambria" w:cs="Cambria" w:ascii="Cambria" w:hAnsi="Cambria"/>
        </w:rPr>
        <w:t>La normativa básica para la elaboración de esta programación es:</w:t>
      </w:r>
    </w:p>
    <w:p>
      <w:pPr>
        <w:pStyle w:val="Normal"/>
        <w:numPr>
          <w:ilvl w:val="0"/>
          <w:numId w:val="1"/>
        </w:numPr>
        <w:jc w:val="both"/>
        <w:rPr/>
      </w:pPr>
      <w:r>
        <w:rPr>
          <w:rFonts w:eastAsia="Cambria" w:cs="Cambria" w:ascii="Cambria" w:hAnsi="Cambria"/>
          <w:i/>
        </w:rPr>
        <w:t>Orden de 18 de mayo de 2015, de la Consejera de Educación, Universidad, Cultura y Deporte, por la que se aprueban las Instrucciones que regulan la organización y el funcionamiento de los Institutos de Educación Secundaria de la Comunidad Autónoma de Aragón, modificada por Orden ECD/779/2016, de 11 de julio.</w:t>
      </w:r>
    </w:p>
    <w:p>
      <w:pPr>
        <w:pStyle w:val="Normal"/>
        <w:numPr>
          <w:ilvl w:val="0"/>
          <w:numId w:val="1"/>
        </w:numPr>
        <w:jc w:val="both"/>
        <w:rPr/>
      </w:pPr>
      <w:r>
        <w:rPr>
          <w:rFonts w:eastAsia="Cambria" w:cs="Cambria" w:ascii="Cambria" w:hAnsi="Cambria"/>
          <w:i/>
        </w:rPr>
        <w:t>Orden ECD/1173/2022, de 3 de agosto, por la que se aprueban el currículo y las características de la evaluación de Bachillerato y se autoriza su aplicación en los centros docentes de la Comunidad Autónoma de Aragón.</w:t>
      </w:r>
    </w:p>
    <w:p>
      <w:pPr>
        <w:pStyle w:val="Normal"/>
        <w:numPr>
          <w:ilvl w:val="0"/>
          <w:numId w:val="1"/>
        </w:numPr>
        <w:jc w:val="both"/>
        <w:rPr/>
      </w:pPr>
      <w:r>
        <w:rPr>
          <w:rFonts w:eastAsia="Cambria" w:cs="Cambria" w:ascii="Cambria" w:hAnsi="Cambria"/>
          <w:i/>
        </w:rPr>
        <w:t>Orden ECD/886/2024, de 25 de julio, por la que se modifica la Orden ECD/1173/2022, de 3 de agosto, por la que se aprueban el currículo y las características de la evaluación de Bachillerato y se autoriza su aplicación en los centros docentes de la Comunidad Autónoma de Aragón.</w:t>
      </w:r>
    </w:p>
    <w:p>
      <w:pPr>
        <w:pStyle w:val="Normal"/>
        <w:jc w:val="both"/>
        <w:rPr/>
      </w:pPr>
      <w:r>
        <w:rPr>
          <w:rFonts w:eastAsia="Cambria" w:cs="Cambria" w:ascii="Cambria" w:hAnsi="Cambria"/>
          <w:b/>
          <w:u w:val="single"/>
        </w:rPr>
        <w:t>1. COMPETENCIAS ESPECÍFICAS Y CRITERIOS DE EVALUACIÓN ASOCIADOS A ELLAS</w:t>
      </w:r>
    </w:p>
    <w:p>
      <w:pPr>
        <w:pStyle w:val="Ttulo2"/>
        <w:rPr/>
      </w:pPr>
      <w:r>
        <w:rPr>
          <w:sz w:val="22"/>
          <w:szCs w:val="22"/>
        </w:rPr>
        <w:t>Competencia específica de la materia Física y Química 1:</w:t>
      </w:r>
    </w:p>
    <w:p>
      <w:pPr>
        <w:pStyle w:val="Normal"/>
        <w:pBdr>
          <w:top w:val="single" w:sz="4" w:space="1" w:color="000000"/>
          <w:left w:val="single" w:sz="4" w:space="4" w:color="000000"/>
          <w:bottom w:val="single" w:sz="4" w:space="1" w:color="000000"/>
          <w:right w:val="single" w:sz="4" w:space="4" w:color="000000"/>
        </w:pBdr>
        <w:shd w:val="clear" w:fill="D9D9D9"/>
        <w:rPr/>
      </w:pPr>
      <w:r>
        <w:rPr>
          <w:b/>
          <w:sz w:val="22"/>
          <w:szCs w:val="22"/>
        </w:rPr>
        <w:t xml:space="preserve">CE.FQ.1. </w:t>
      </w:r>
      <w:r>
        <w:rPr>
          <w:sz w:val="22"/>
          <w:szCs w:val="22"/>
        </w:rPr>
        <w:t>Resolver problemas y situaciones relacionados con la Física y la Química, aplicando las leyes y teorías científicas adecuadas, para comprender y explicar los fenómenos naturales y evidenciar el papel de estas ciencias en la mejora del bienestar común y en la realidad cotidiana.</w:t>
      </w:r>
    </w:p>
    <w:p>
      <w:pPr>
        <w:pStyle w:val="Normal"/>
        <w:rPr>
          <w:rFonts w:ascii="Calibri" w:hAnsi="Calibri"/>
          <w:sz w:val="22"/>
          <w:szCs w:val="22"/>
        </w:rPr>
      </w:pPr>
      <w:r>
        <w:rPr>
          <w:sz w:val="22"/>
          <w:szCs w:val="22"/>
        </w:rPr>
      </w:r>
    </w:p>
    <w:p>
      <w:pPr>
        <w:pStyle w:val="Normal"/>
        <w:rPr/>
      </w:pPr>
      <w:r>
        <w:rPr>
          <w:sz w:val="22"/>
          <w:szCs w:val="22"/>
        </w:rPr>
        <w:t>Vinculación con las siguientes competencias:: CE.FQ.5, CE.B.4, CE.BGCA.4, CE.CG.1, CE.CG.2, CE.F.1, CE.CGA.4, CE.M.1 y CE.Q.1.</w:t>
      </w:r>
    </w:p>
    <w:p>
      <w:pPr>
        <w:pStyle w:val="Normal"/>
        <w:ind w:left="0" w:right="0" w:hanging="0"/>
        <w:rPr/>
      </w:pPr>
      <w:r>
        <w:rPr>
          <w:sz w:val="22"/>
          <w:szCs w:val="22"/>
        </w:rPr>
        <w:t>Conexión con los siguientes descriptores: STEM1, STEM2, STEM5, CPSAA2.</w:t>
      </w:r>
    </w:p>
    <w:p>
      <w:pPr>
        <w:pStyle w:val="Normal"/>
        <w:ind w:left="0" w:right="0" w:hanging="0"/>
        <w:rPr>
          <w:rFonts w:ascii="Calibri" w:hAnsi="Calibri"/>
          <w:sz w:val="22"/>
          <w:szCs w:val="22"/>
        </w:rPr>
      </w:pPr>
      <w:r>
        <w:rPr>
          <w:sz w:val="22"/>
          <w:szCs w:val="22"/>
        </w:rPr>
      </w:r>
    </w:p>
    <w:p>
      <w:pPr>
        <w:pStyle w:val="Ttulo2"/>
        <w:rPr/>
      </w:pPr>
      <w:r>
        <w:rPr>
          <w:sz w:val="22"/>
          <w:szCs w:val="22"/>
        </w:rPr>
        <w:t>Competencia específica de la materia Física y Química 2:</w:t>
      </w:r>
    </w:p>
    <w:p>
      <w:pPr>
        <w:pStyle w:val="Normal"/>
        <w:pBdr>
          <w:top w:val="single" w:sz="4" w:space="1" w:color="000000"/>
          <w:left w:val="single" w:sz="4" w:space="4" w:color="000000"/>
          <w:bottom w:val="single" w:sz="4" w:space="1" w:color="000000"/>
          <w:right w:val="single" w:sz="4" w:space="4" w:color="000000"/>
        </w:pBdr>
        <w:shd w:val="clear" w:fill="D9D9D9"/>
        <w:rPr/>
      </w:pPr>
      <w:r>
        <w:rPr>
          <w:b/>
          <w:sz w:val="22"/>
          <w:szCs w:val="22"/>
        </w:rPr>
        <w:t xml:space="preserve">CE.FQ.2. </w:t>
      </w:r>
      <w:r>
        <w:rPr>
          <w:sz w:val="22"/>
          <w:szCs w:val="22"/>
        </w:rPr>
        <w:t>Razonar, usando el pensamiento científico y las destrezas relacionadas con el trabajo de la ciencia con solvencia, para aplicarlo a la observación de la naturaleza y el entorno, a la formulación de preguntas e hipótesis y a la validación de las mismas a través de la experimentación, la indagación y la búsqueda de evidencias.</w:t>
      </w:r>
    </w:p>
    <w:p>
      <w:pPr>
        <w:pStyle w:val="Ttulo3"/>
        <w:ind w:left="0" w:right="0" w:hanging="0"/>
        <w:rPr>
          <w:rFonts w:ascii="Calibri" w:hAnsi="Calibri"/>
          <w:sz w:val="22"/>
          <w:szCs w:val="22"/>
        </w:rPr>
      </w:pPr>
      <w:r>
        <w:rPr>
          <w:sz w:val="22"/>
          <w:szCs w:val="22"/>
        </w:rPr>
      </w:r>
    </w:p>
    <w:p>
      <w:pPr>
        <w:pStyle w:val="Normal"/>
        <w:rPr/>
      </w:pPr>
      <w:r>
        <w:rPr>
          <w:sz w:val="22"/>
          <w:szCs w:val="22"/>
        </w:rPr>
        <w:t xml:space="preserve">Vinculación con las siguientes competencias: CE.B.1, CE.BGCA.1, CE.CG.4., CE.M.3. y CE.FI.1. </w:t>
      </w:r>
    </w:p>
    <w:p>
      <w:pPr>
        <w:pStyle w:val="Normal"/>
        <w:ind w:left="0" w:right="0" w:hanging="0"/>
        <w:rPr/>
      </w:pPr>
      <w:r>
        <w:rPr>
          <w:sz w:val="22"/>
          <w:szCs w:val="22"/>
        </w:rPr>
        <w:t>Conexión con los siguientes descriptores: STEM1, STEM2, CPSAA5, CE1.</w:t>
      </w:r>
    </w:p>
    <w:p>
      <w:pPr>
        <w:pStyle w:val="Normal"/>
        <w:ind w:left="0" w:right="0" w:hanging="0"/>
        <w:rPr>
          <w:rFonts w:ascii="Calibri" w:hAnsi="Calibri"/>
          <w:sz w:val="22"/>
          <w:szCs w:val="22"/>
        </w:rPr>
      </w:pPr>
      <w:r>
        <w:rPr>
          <w:sz w:val="22"/>
          <w:szCs w:val="22"/>
        </w:rPr>
      </w:r>
    </w:p>
    <w:p>
      <w:pPr>
        <w:pStyle w:val="Ttulo2"/>
        <w:rPr/>
      </w:pPr>
      <w:r>
        <w:rPr>
          <w:sz w:val="22"/>
          <w:szCs w:val="22"/>
        </w:rPr>
        <w:t>Competencia específica de la materia Física y Química 3:</w:t>
      </w:r>
    </w:p>
    <w:p>
      <w:pPr>
        <w:pStyle w:val="Normal"/>
        <w:pBdr>
          <w:top w:val="single" w:sz="4" w:space="1" w:color="000000"/>
          <w:left w:val="single" w:sz="4" w:space="4" w:color="000000"/>
          <w:bottom w:val="single" w:sz="4" w:space="1" w:color="000000"/>
          <w:right w:val="single" w:sz="4" w:space="4" w:color="000000"/>
        </w:pBdr>
        <w:shd w:val="clear" w:fill="D9D9D9"/>
        <w:rPr/>
      </w:pPr>
      <w:r>
        <w:rPr>
          <w:b/>
          <w:sz w:val="22"/>
          <w:szCs w:val="22"/>
        </w:rPr>
        <w:t xml:space="preserve">CE.FQ.3. </w:t>
      </w:r>
      <w:r>
        <w:rPr>
          <w:sz w:val="22"/>
          <w:szCs w:val="22"/>
        </w:rPr>
        <w:t>Manejar con propiedad y solvencia el flujo de información en los diferentes registros de comunicación de la ciencia como la nomenclatura de compuestos químicos, el uso del lenguaje matemático, el uso correcto de las unidades de medida, la seguridad en el trabajo experimental, para la producción e interpretación de información en diferentes formatos y a partir de fuentes diversas.</w:t>
      </w:r>
    </w:p>
    <w:p>
      <w:pPr>
        <w:pStyle w:val="Normal"/>
        <w:ind w:left="0" w:right="0" w:hanging="0"/>
        <w:rPr>
          <w:rFonts w:ascii="Calibri" w:hAnsi="Calibri"/>
          <w:sz w:val="22"/>
          <w:szCs w:val="22"/>
        </w:rPr>
      </w:pPr>
      <w:r>
        <w:rPr>
          <w:sz w:val="22"/>
          <w:szCs w:val="22"/>
        </w:rPr>
      </w:r>
    </w:p>
    <w:p>
      <w:pPr>
        <w:pStyle w:val="Normal"/>
        <w:ind w:left="0" w:right="0" w:hanging="0"/>
        <w:rPr/>
      </w:pPr>
      <w:r>
        <w:rPr>
          <w:sz w:val="22"/>
          <w:szCs w:val="22"/>
        </w:rPr>
        <w:t xml:space="preserve">Vinculación con las siguientes competencias: CE.FQ.5, CE.FQ.4, CE.B.2, CE.BGCA.2, CE.F.3 y CE.Q.3. </w:t>
      </w:r>
    </w:p>
    <w:p>
      <w:pPr>
        <w:pStyle w:val="Normal"/>
        <w:ind w:left="0" w:right="0" w:hanging="0"/>
        <w:rPr/>
      </w:pPr>
      <w:r>
        <w:rPr>
          <w:sz w:val="22"/>
          <w:szCs w:val="22"/>
        </w:rPr>
        <w:t>Conexión con los siguientes descriptores: CCL1, CCL5, STEM4, CD2.</w:t>
      </w:r>
    </w:p>
    <w:p>
      <w:pPr>
        <w:pStyle w:val="Normal"/>
        <w:ind w:left="0" w:right="0" w:hanging="0"/>
        <w:rPr>
          <w:rFonts w:ascii="Calibri" w:hAnsi="Calibri"/>
          <w:sz w:val="22"/>
          <w:szCs w:val="22"/>
        </w:rPr>
      </w:pPr>
      <w:r>
        <w:rPr>
          <w:sz w:val="22"/>
          <w:szCs w:val="22"/>
        </w:rPr>
      </w:r>
    </w:p>
    <w:p>
      <w:pPr>
        <w:pStyle w:val="Ttulo2"/>
        <w:rPr/>
      </w:pPr>
      <w:r>
        <w:rPr>
          <w:sz w:val="22"/>
          <w:szCs w:val="22"/>
        </w:rPr>
        <w:t>Competencia específica de la materia Física y Química 4:</w:t>
      </w:r>
    </w:p>
    <w:p>
      <w:pPr>
        <w:pStyle w:val="Normal"/>
        <w:pBdr>
          <w:top w:val="single" w:sz="4" w:space="1" w:color="000000"/>
          <w:left w:val="single" w:sz="4" w:space="4" w:color="000000"/>
          <w:bottom w:val="single" w:sz="4" w:space="1" w:color="000000"/>
          <w:right w:val="single" w:sz="4" w:space="4" w:color="000000"/>
        </w:pBdr>
        <w:shd w:val="clear" w:fill="D9D9D9"/>
        <w:rPr/>
      </w:pPr>
      <w:r>
        <w:rPr>
          <w:b/>
          <w:sz w:val="22"/>
          <w:szCs w:val="22"/>
        </w:rPr>
        <w:t xml:space="preserve">CE.FQ.4. </w:t>
      </w:r>
      <w:r>
        <w:rPr>
          <w:sz w:val="22"/>
          <w:szCs w:val="22"/>
        </w:rPr>
        <w:t>Utilizar de forma autónoma, crítica y eficiente plataformas digitales y recursos variados, tanto para el trabajo individual como en equipo, consultando y seleccionando información científica veraz, creando materiales en diversos formatos y comunicando de manera efectiva en diferentes entornos de aprendizaje, para fomentar la creatividad, el desarrollo personal y el aprendizaje individual y social.</w:t>
      </w:r>
    </w:p>
    <w:p>
      <w:pPr>
        <w:pStyle w:val="Normal"/>
        <w:rPr/>
      </w:pPr>
      <w:r>
        <w:rPr>
          <w:rFonts w:eastAsia="Times New Roman" w:cs="Calibri"/>
          <w:color w:val="000000"/>
          <w:sz w:val="22"/>
          <w:szCs w:val="22"/>
          <w:lang w:eastAsia="es-ES"/>
        </w:rPr>
        <w:t xml:space="preserve"> </w:t>
      </w:r>
    </w:p>
    <w:p>
      <w:pPr>
        <w:pStyle w:val="Normal"/>
        <w:rPr>
          <w:rFonts w:ascii="Calibri" w:hAnsi="Calibri" w:eastAsia="Times New Roman" w:cs="Calibri"/>
          <w:color w:val="000000"/>
          <w:sz w:val="22"/>
          <w:szCs w:val="22"/>
          <w:lang w:eastAsia="es-ES"/>
        </w:rPr>
      </w:pPr>
      <w:r>
        <w:rPr>
          <w:rFonts w:eastAsia="Times New Roman" w:cs="Calibri"/>
          <w:color w:val="000000"/>
          <w:sz w:val="22"/>
          <w:szCs w:val="22"/>
          <w:lang w:eastAsia="es-ES"/>
        </w:rPr>
      </w:r>
    </w:p>
    <w:p>
      <w:pPr>
        <w:pStyle w:val="Normal"/>
        <w:rPr/>
      </w:pPr>
      <w:r>
        <w:rPr>
          <w:rFonts w:eastAsia="Times New Roman" w:cs="Calibri"/>
          <w:color w:val="000000"/>
          <w:sz w:val="22"/>
          <w:szCs w:val="22"/>
          <w:lang w:eastAsia="es-ES"/>
        </w:rPr>
        <w:t>Vinculación con las siguientes competencias: CE.FQ.5, CE.FQ.6, CE.F.4 y CE.TI.3.</w:t>
      </w:r>
    </w:p>
    <w:p>
      <w:pPr>
        <w:pStyle w:val="Normal"/>
        <w:ind w:left="0" w:right="0" w:hanging="0"/>
        <w:rPr/>
      </w:pPr>
      <w:r>
        <w:rPr>
          <w:rFonts w:eastAsia="Times New Roman" w:cs="Calibri"/>
          <w:color w:val="000000"/>
          <w:sz w:val="22"/>
          <w:szCs w:val="22"/>
          <w:lang w:eastAsia="es-ES"/>
        </w:rPr>
        <w:t>Conexión con los siguientes descriptores: STEM3, CD1, CD3, CPSAA6, CE2.</w:t>
      </w:r>
    </w:p>
    <w:p>
      <w:pPr>
        <w:pStyle w:val="Normal"/>
        <w:ind w:left="0" w:right="0" w:hanging="0"/>
        <w:rPr>
          <w:rFonts w:ascii="Calibri" w:hAnsi="Calibri" w:eastAsia="Times New Roman" w:cs="Calibri"/>
          <w:color w:val="000000"/>
          <w:sz w:val="22"/>
          <w:szCs w:val="22"/>
          <w:lang w:eastAsia="es-ES"/>
        </w:rPr>
      </w:pPr>
      <w:r>
        <w:rPr>
          <w:rFonts w:eastAsia="Times New Roman" w:cs="Calibri"/>
          <w:color w:val="000000"/>
          <w:sz w:val="22"/>
          <w:szCs w:val="22"/>
          <w:lang w:eastAsia="es-ES"/>
        </w:rPr>
      </w:r>
    </w:p>
    <w:p>
      <w:pPr>
        <w:pStyle w:val="Normal"/>
        <w:ind w:left="0" w:right="0" w:hanging="0"/>
        <w:rPr>
          <w:rFonts w:ascii="Calibri" w:hAnsi="Calibri" w:eastAsia="Times New Roman" w:cs="Calibri"/>
          <w:color w:val="000000"/>
          <w:sz w:val="22"/>
          <w:szCs w:val="22"/>
          <w:lang w:eastAsia="es-ES"/>
        </w:rPr>
      </w:pPr>
      <w:r>
        <w:rPr>
          <w:rFonts w:eastAsia="Times New Roman" w:cs="Calibri"/>
          <w:color w:val="000000"/>
          <w:sz w:val="22"/>
          <w:szCs w:val="22"/>
          <w:lang w:eastAsia="es-ES"/>
        </w:rPr>
      </w:r>
    </w:p>
    <w:p>
      <w:pPr>
        <w:pStyle w:val="Ttulo2"/>
        <w:rPr/>
      </w:pPr>
      <w:r>
        <w:rPr>
          <w:sz w:val="22"/>
          <w:szCs w:val="22"/>
        </w:rPr>
        <w:t>Competencia específica de la materia Física y Química 5:</w:t>
      </w:r>
    </w:p>
    <w:p>
      <w:pPr>
        <w:pStyle w:val="Normal"/>
        <w:pBdr>
          <w:top w:val="single" w:sz="4" w:space="1" w:color="000000"/>
          <w:left w:val="single" w:sz="4" w:space="4" w:color="000000"/>
          <w:bottom w:val="single" w:sz="4" w:space="1" w:color="000000"/>
          <w:right w:val="single" w:sz="4" w:space="4" w:color="000000"/>
        </w:pBdr>
        <w:shd w:val="clear" w:fill="D9D9D9"/>
        <w:rPr/>
      </w:pPr>
      <w:r>
        <w:rPr>
          <w:b/>
          <w:sz w:val="22"/>
          <w:szCs w:val="22"/>
        </w:rPr>
        <w:t xml:space="preserve">CE.FQ.5. </w:t>
      </w:r>
      <w:r>
        <w:rPr>
          <w:sz w:val="22"/>
          <w:szCs w:val="22"/>
        </w:rPr>
        <w:t>Trabajar de forma colaborativa en equipos diversos, aplicando habilidades de coordinación, comunicación, emprendimiento y reparto equilibrado de responsabilidades, para predecir las consecuencias de los avances científicos y su influencia sobre la salud propia y comunitaria y sobre el desarrollo medioambiental sostenible.</w:t>
      </w:r>
    </w:p>
    <w:p>
      <w:pPr>
        <w:pStyle w:val="Normal"/>
        <w:ind w:left="0" w:right="0" w:hanging="0"/>
        <w:rPr>
          <w:rFonts w:ascii="Calibri" w:hAnsi="Calibri" w:eastAsia="Times New Roman" w:cs="Calibri"/>
          <w:color w:val="000000"/>
          <w:sz w:val="22"/>
          <w:szCs w:val="22"/>
          <w:lang w:eastAsia="es-ES"/>
        </w:rPr>
      </w:pPr>
      <w:r>
        <w:rPr>
          <w:rFonts w:eastAsia="Times New Roman" w:cs="Calibri"/>
          <w:color w:val="000000"/>
          <w:sz w:val="22"/>
          <w:szCs w:val="22"/>
          <w:lang w:eastAsia="es-ES"/>
        </w:rPr>
      </w:r>
    </w:p>
    <w:p>
      <w:pPr>
        <w:pStyle w:val="Normal"/>
        <w:ind w:left="0" w:right="0" w:hanging="0"/>
        <w:rPr/>
      </w:pPr>
      <w:r>
        <w:rPr>
          <w:rFonts w:eastAsia="Times New Roman" w:cs="Calibri"/>
          <w:color w:val="000000"/>
          <w:sz w:val="22"/>
          <w:szCs w:val="22"/>
          <w:lang w:eastAsia="es-ES"/>
        </w:rPr>
        <w:t>Vinculación con las siguientes competencias:CE.FQ.4,CE.B.5, CE.F.5 y CE.Q.5.</w:t>
      </w:r>
    </w:p>
    <w:p>
      <w:pPr>
        <w:pStyle w:val="Normal"/>
        <w:ind w:left="0" w:right="0" w:hanging="0"/>
        <w:rPr/>
      </w:pPr>
      <w:r>
        <w:rPr>
          <w:rFonts w:eastAsia="Times New Roman" w:cs="Calibri"/>
          <w:color w:val="000000"/>
          <w:sz w:val="22"/>
          <w:szCs w:val="22"/>
          <w:lang w:eastAsia="es-ES"/>
        </w:rPr>
        <w:t>Conexión con los siguientes descriptores: STEM3, STEM5, CPSAA4, CPSAA6.</w:t>
      </w:r>
    </w:p>
    <w:p>
      <w:pPr>
        <w:pStyle w:val="Normal"/>
        <w:ind w:left="0" w:right="0" w:hanging="0"/>
        <w:rPr>
          <w:rFonts w:ascii="Calibri" w:hAnsi="Calibri" w:eastAsia="Times New Roman" w:cs="Calibri"/>
          <w:color w:val="000000"/>
          <w:sz w:val="22"/>
          <w:szCs w:val="22"/>
          <w:lang w:eastAsia="es-ES"/>
        </w:rPr>
      </w:pPr>
      <w:r>
        <w:rPr>
          <w:rFonts w:eastAsia="Times New Roman" w:cs="Calibri"/>
          <w:color w:val="000000"/>
          <w:sz w:val="22"/>
          <w:szCs w:val="22"/>
          <w:lang w:eastAsia="es-ES"/>
        </w:rPr>
      </w:r>
    </w:p>
    <w:p>
      <w:pPr>
        <w:pStyle w:val="Ttulo2"/>
        <w:rPr/>
      </w:pPr>
      <w:r>
        <w:rPr>
          <w:sz w:val="22"/>
          <w:szCs w:val="22"/>
        </w:rPr>
        <w:t>Competencia específica de la materia Física y Química 6:</w:t>
      </w:r>
    </w:p>
    <w:p>
      <w:pPr>
        <w:pStyle w:val="Normal"/>
        <w:pBdr>
          <w:top w:val="single" w:sz="4" w:space="1" w:color="000000"/>
          <w:left w:val="single" w:sz="4" w:space="4" w:color="000000"/>
          <w:bottom w:val="single" w:sz="4" w:space="1" w:color="000000"/>
          <w:right w:val="single" w:sz="4" w:space="4" w:color="000000"/>
        </w:pBdr>
        <w:shd w:val="clear" w:fill="D9D9D9"/>
        <w:rPr/>
      </w:pPr>
      <w:r>
        <w:rPr>
          <w:b/>
          <w:sz w:val="22"/>
          <w:szCs w:val="22"/>
        </w:rPr>
        <w:t xml:space="preserve">CE.FQ.6. </w:t>
      </w:r>
      <w:r>
        <w:rPr>
          <w:sz w:val="22"/>
          <w:szCs w:val="22"/>
        </w:rPr>
        <w:t>Participar de forma activa en la construcción colectiva y evolutiva del conocimiento científico, en su entorno cotidiano y cercano, para convertirse en agentes activos de la difusión del pensamiento científico, la aproximación escéptica a la información científica y tecnológica y la puesta en valor de la preservación del medioambiente y la salud pública, el desarrollo económico y la búsqueda de una sociedad igualitaria.</w:t>
      </w:r>
    </w:p>
    <w:p>
      <w:pPr>
        <w:pStyle w:val="Normal"/>
        <w:ind w:left="0" w:right="0" w:hanging="0"/>
        <w:rPr>
          <w:rFonts w:ascii="Calibri" w:hAnsi="Calibri" w:eastAsia="Times New Roman" w:cs="Calibri"/>
          <w:color w:val="000000"/>
          <w:sz w:val="22"/>
          <w:szCs w:val="22"/>
          <w:lang w:eastAsia="es-ES"/>
        </w:rPr>
      </w:pPr>
      <w:r>
        <w:rPr>
          <w:rFonts w:eastAsia="Times New Roman" w:cs="Calibri"/>
          <w:color w:val="000000"/>
          <w:sz w:val="22"/>
          <w:szCs w:val="22"/>
          <w:lang w:eastAsia="es-ES"/>
        </w:rPr>
      </w:r>
    </w:p>
    <w:p>
      <w:pPr>
        <w:pStyle w:val="Normal"/>
        <w:ind w:left="0" w:right="0" w:hanging="0"/>
        <w:rPr/>
      </w:pPr>
      <w:r>
        <w:rPr>
          <w:rFonts w:eastAsia="Times New Roman" w:cs="Calibri"/>
          <w:color w:val="000000"/>
          <w:sz w:val="22"/>
          <w:szCs w:val="22"/>
          <w:lang w:eastAsia="es-ES"/>
        </w:rPr>
        <w:t>Vinculación con las siguientes competencias:CE.FQ.5,CE.FQ.1,CE.B.5, CE.BGCA.5, CE.CG.5 y CE.GCA.5.</w:t>
      </w:r>
    </w:p>
    <w:p>
      <w:pPr>
        <w:pStyle w:val="Normal"/>
        <w:ind w:left="0" w:right="0" w:hanging="0"/>
        <w:jc w:val="both"/>
        <w:rPr/>
      </w:pPr>
      <w:r>
        <w:rPr>
          <w:rFonts w:eastAsia="Cambria" w:cs="Cambria" w:ascii="Cambria" w:hAnsi="Cambria"/>
          <w:b w:val="false"/>
          <w:bCs w:val="false"/>
          <w:color w:val="000000"/>
          <w:sz w:val="22"/>
          <w:szCs w:val="22"/>
          <w:u w:val="none"/>
          <w:lang w:eastAsia="es-ES"/>
        </w:rPr>
        <w:t>Conexión con los siguientes descriptores: STEM3, STEM4, STEM5, CPSAA7, CE2.</w:t>
      </w:r>
      <w:r>
        <w:br w:type="page"/>
      </w:r>
    </w:p>
    <w:p>
      <w:pPr>
        <w:pStyle w:val="Normal"/>
        <w:jc w:val="both"/>
        <w:rPr/>
      </w:pPr>
      <w:r>
        <w:rPr>
          <w:b/>
          <w:bCs/>
          <w:sz w:val="22"/>
          <w:szCs w:val="22"/>
          <w:u w:val="single"/>
        </w:rPr>
        <w:t xml:space="preserve">Criterios de evaluación asociados a las competencias </w:t>
      </w:r>
    </w:p>
    <w:p>
      <w:pPr>
        <w:pStyle w:val="Normal"/>
        <w:jc w:val="both"/>
        <w:rPr>
          <w:rFonts w:ascii="Calibri" w:hAnsi="Calibri"/>
          <w:sz w:val="22"/>
          <w:szCs w:val="22"/>
        </w:rPr>
      </w:pPr>
      <w:r>
        <w:rPr>
          <w:sz w:val="22"/>
          <w:szCs w:val="22"/>
        </w:rPr>
      </w:r>
    </w:p>
    <w:p>
      <w:pPr>
        <w:pStyle w:val="Estiloparrafos"/>
        <w:bidi w:val="0"/>
        <w:jc w:val="both"/>
        <w:rPr/>
      </w:pPr>
      <w:r>
        <w:rPr>
          <w:rFonts w:ascii="Calibri" w:hAnsi="Calibri"/>
          <w:sz w:val="22"/>
          <w:szCs w:val="22"/>
        </w:rPr>
        <w:t>A continuación se indican los criterios de evaluación relacionando las competencias específicas con los objetivos generales.</w:t>
      </w:r>
    </w:p>
    <w:p>
      <w:pPr>
        <w:pStyle w:val="Estiloparrafos"/>
        <w:bidi w:val="0"/>
        <w:rPr>
          <w:rFonts w:ascii="Calibri" w:hAnsi="Calibri"/>
          <w:sz w:val="22"/>
          <w:szCs w:val="22"/>
        </w:rPr>
      </w:pPr>
      <w:r>
        <w:rPr>
          <w:rFonts w:ascii="Calibri" w:hAnsi="Calibri"/>
          <w:sz w:val="22"/>
          <w:szCs w:val="22"/>
        </w:rPr>
      </w:r>
    </w:p>
    <w:p>
      <w:pPr>
        <w:pStyle w:val="Normal"/>
        <w:rPr>
          <w:rFonts w:ascii="Calibri" w:hAnsi="Calibri"/>
          <w:sz w:val="22"/>
          <w:szCs w:val="22"/>
        </w:rPr>
      </w:pPr>
      <w:r>
        <w:rPr>
          <w:sz w:val="22"/>
          <w:szCs w:val="22"/>
        </w:rPr>
      </w:r>
    </w:p>
    <w:tbl>
      <w:tblPr>
        <w:tblW w:w="10485" w:type="dxa"/>
        <w:jc w:val="left"/>
        <w:tblInd w:w="5" w:type="dxa"/>
        <w:tblCellMar>
          <w:top w:w="0" w:type="dxa"/>
          <w:left w:w="108" w:type="dxa"/>
          <w:bottom w:w="0" w:type="dxa"/>
          <w:right w:w="108" w:type="dxa"/>
        </w:tblCellMar>
      </w:tblPr>
      <w:tblGrid>
        <w:gridCol w:w="10485"/>
      </w:tblGrid>
      <w:tr>
        <w:trPr/>
        <w:tc>
          <w:tcPr>
            <w:tcW w:w="10485" w:type="dxa"/>
            <w:tcBorders>
              <w:top w:val="single" w:sz="4" w:space="0" w:color="000000"/>
              <w:left w:val="single" w:sz="4" w:space="0" w:color="000000"/>
              <w:bottom w:val="single" w:sz="4" w:space="0" w:color="000000"/>
              <w:right w:val="single" w:sz="4" w:space="0" w:color="000000"/>
            </w:tcBorders>
            <w:shd w:fill="8EAADB" w:val="clear"/>
          </w:tcPr>
          <w:p>
            <w:pPr>
              <w:pStyle w:val="Normal"/>
              <w:widowControl/>
              <w:spacing w:lineRule="auto" w:line="240" w:before="0" w:after="0"/>
              <w:jc w:val="center"/>
              <w:rPr/>
            </w:pPr>
            <w:r>
              <w:rPr>
                <w:rFonts w:eastAsia="Calibri"/>
                <w:b/>
                <w:kern w:val="0"/>
                <w:sz w:val="22"/>
                <w:szCs w:val="22"/>
                <w:lang w:val="es-ES" w:eastAsia="en-US" w:bidi="ar-SA"/>
              </w:rPr>
              <w:t>CE.FQ.1</w:t>
            </w:r>
          </w:p>
        </w:tc>
      </w:tr>
      <w:tr>
        <w:trPr/>
        <w:tc>
          <w:tcPr>
            <w:tcW w:w="10485" w:type="dxa"/>
            <w:tcBorders>
              <w:top w:val="single" w:sz="4" w:space="0" w:color="000000"/>
              <w:left w:val="single" w:sz="4" w:space="0" w:color="000000"/>
              <w:bottom w:val="single" w:sz="4" w:space="0" w:color="000000"/>
              <w:right w:val="single" w:sz="4" w:space="0" w:color="000000"/>
            </w:tcBorders>
            <w:shd w:fill="DEEAF6" w:val="clear"/>
          </w:tcPr>
          <w:p>
            <w:pPr>
              <w:pStyle w:val="Normal"/>
              <w:widowControl/>
              <w:spacing w:lineRule="auto" w:line="240" w:before="0" w:after="0"/>
              <w:rPr/>
            </w:pPr>
            <w:r>
              <w:rPr>
                <w:rFonts w:eastAsia="Calibri"/>
                <w:i/>
                <w:kern w:val="0"/>
                <w:sz w:val="22"/>
                <w:szCs w:val="22"/>
                <w:lang w:val="es-ES" w:eastAsia="en-US" w:bidi="ar-SA"/>
              </w:rPr>
              <w:t>Resolver problemas y situaciones relacionados con la Física y la Química, aplicando las leyes y teorías científicas adecuadas, para comprender y explicar los fenómenos naturales y evidenciar el papel de estas ciencias en la mejora del bienestar común y en la realidad cotidiana.</w:t>
            </w:r>
          </w:p>
        </w:tc>
      </w:tr>
      <w:tr>
        <w:trPr/>
        <w:tc>
          <w:tcPr>
            <w:tcW w:w="10485" w:type="dxa"/>
            <w:tcBorders>
              <w:top w:val="single" w:sz="4" w:space="0" w:color="000000"/>
              <w:left w:val="single" w:sz="4" w:space="0" w:color="000000"/>
              <w:bottom w:val="single" w:sz="4" w:space="0" w:color="000000"/>
              <w:right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1.1. Aplicar las leyes y teorías científicas en el análisis de fenómenos fisicoquímicos cotidianos, comprendiendo las causas que los producen y explicándolas utilizando diversidad de soportes y medios de comunicación.</w:t>
            </w:r>
          </w:p>
          <w:p>
            <w:pPr>
              <w:pStyle w:val="Normal"/>
              <w:widowControl/>
              <w:spacing w:lineRule="auto" w:line="240" w:before="0" w:after="0"/>
              <w:jc w:val="left"/>
              <w:rPr/>
            </w:pPr>
            <w:r>
              <w:rPr>
                <w:rFonts w:eastAsia="Calibri"/>
                <w:kern w:val="0"/>
                <w:sz w:val="22"/>
                <w:szCs w:val="22"/>
                <w:lang w:val="es-ES" w:eastAsia="en-US" w:bidi="ar-SA"/>
              </w:rPr>
              <w:t>1.2. Resolver problemas fisicoquímicos planteados a partir de situaciones cotidianas, aplicando las leyes y teorías científicas para encontrar y argumentar las soluciones, expresando adecuadamente los resultados.</w:t>
            </w:r>
          </w:p>
          <w:p>
            <w:pPr>
              <w:pStyle w:val="Normal"/>
              <w:widowControl/>
              <w:spacing w:lineRule="auto" w:line="240" w:before="0" w:after="0"/>
              <w:jc w:val="left"/>
              <w:rPr/>
            </w:pPr>
            <w:r>
              <w:rPr>
                <w:rFonts w:eastAsia="Calibri"/>
                <w:kern w:val="0"/>
                <w:sz w:val="22"/>
                <w:szCs w:val="22"/>
                <w:lang w:val="es-ES" w:eastAsia="en-US" w:bidi="ar-SA"/>
              </w:rPr>
              <w:t>1.3. Identificar situaciones problemáticas en el entorno cotidiano, emprender iniciativas y buscar soluciones sostenibles desde la Física y la Química, analizando críticamente el impacto producido en la sociedad y el medioambiente.</w:t>
            </w:r>
          </w:p>
        </w:tc>
      </w:tr>
      <w:tr>
        <w:trPr/>
        <w:tc>
          <w:tcPr>
            <w:tcW w:w="10485" w:type="dxa"/>
            <w:tcBorders>
              <w:top w:val="single" w:sz="4" w:space="0" w:color="000000"/>
              <w:left w:val="single" w:sz="4" w:space="0" w:color="000000"/>
              <w:bottom w:val="single" w:sz="4" w:space="0" w:color="000000"/>
              <w:right w:val="single" w:sz="4" w:space="0" w:color="000000"/>
            </w:tcBorders>
            <w:shd w:fill="8EAADB" w:val="clear"/>
          </w:tcPr>
          <w:p>
            <w:pPr>
              <w:pStyle w:val="Normal"/>
              <w:widowControl/>
              <w:spacing w:lineRule="auto" w:line="240" w:before="0" w:after="0"/>
              <w:jc w:val="center"/>
              <w:rPr/>
            </w:pPr>
            <w:r>
              <w:rPr>
                <w:rFonts w:eastAsia="Calibri"/>
                <w:b/>
                <w:kern w:val="0"/>
                <w:sz w:val="22"/>
                <w:szCs w:val="22"/>
                <w:lang w:val="es-ES" w:eastAsia="en-US" w:bidi="ar-SA"/>
              </w:rPr>
              <w:t>CE.FQ.2</w:t>
            </w:r>
          </w:p>
        </w:tc>
      </w:tr>
      <w:tr>
        <w:trPr/>
        <w:tc>
          <w:tcPr>
            <w:tcW w:w="10485" w:type="dxa"/>
            <w:tcBorders>
              <w:top w:val="single" w:sz="4" w:space="0" w:color="000000"/>
              <w:left w:val="single" w:sz="4" w:space="0" w:color="000000"/>
              <w:bottom w:val="single" w:sz="4" w:space="0" w:color="000000"/>
              <w:right w:val="single" w:sz="4" w:space="0" w:color="000000"/>
            </w:tcBorders>
            <w:shd w:fill="DEEAF6" w:val="clear"/>
          </w:tcPr>
          <w:p>
            <w:pPr>
              <w:pStyle w:val="Normal"/>
              <w:widowControl/>
              <w:spacing w:lineRule="auto" w:line="240" w:before="0" w:after="0"/>
              <w:rPr/>
            </w:pPr>
            <w:r>
              <w:rPr>
                <w:rFonts w:eastAsia="Calibri"/>
                <w:i/>
                <w:kern w:val="0"/>
                <w:sz w:val="22"/>
                <w:szCs w:val="22"/>
                <w:lang w:val="es-ES" w:eastAsia="en-US" w:bidi="ar-SA"/>
              </w:rPr>
              <w:t>Razonar, usando el pensamiento científico y las destrezas relacionadas con el trabajo de la ciencia con solvencia, para aplicarlo a la observación de la naturaleza y el entorno, a la formulación de preguntas e hipótesis y a la validación de las mismas a través de la experimentación, la indagación y la búsqueda de evidencias.</w:t>
            </w:r>
          </w:p>
        </w:tc>
      </w:tr>
      <w:tr>
        <w:trPr/>
        <w:tc>
          <w:tcPr>
            <w:tcW w:w="10485" w:type="dxa"/>
            <w:tcBorders>
              <w:top w:val="single" w:sz="4" w:space="0" w:color="000000"/>
              <w:left w:val="single" w:sz="4" w:space="0" w:color="000000"/>
              <w:bottom w:val="single" w:sz="4" w:space="0" w:color="000000"/>
              <w:right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2.1. Formular y verificar hipótesis como respuestas a diferentes problemas y observaciones, manejando con soltura el trabajo experimental, la indagación, la búsqueda de evidencias y el razonamiento lógico-matemático.</w:t>
            </w:r>
          </w:p>
          <w:p>
            <w:pPr>
              <w:pStyle w:val="Normal"/>
              <w:widowControl/>
              <w:spacing w:lineRule="auto" w:line="240" w:before="0" w:after="0"/>
              <w:jc w:val="left"/>
              <w:rPr/>
            </w:pPr>
            <w:r>
              <w:rPr>
                <w:rFonts w:eastAsia="Calibri"/>
                <w:kern w:val="0"/>
                <w:sz w:val="22"/>
                <w:szCs w:val="22"/>
                <w:lang w:val="es-ES" w:eastAsia="en-US" w:bidi="ar-SA"/>
              </w:rPr>
              <w:t>2.2. Utilizar diferentes métodos para encontrar la respuesta a una sola cuestión u observación, cotejando los resultados obtenidos por diferentes métodos, asegurándose así de su coherencia y fiabilidad.</w:t>
            </w:r>
          </w:p>
          <w:p>
            <w:pPr>
              <w:pStyle w:val="Normal"/>
              <w:widowControl/>
              <w:spacing w:lineRule="auto" w:line="240" w:before="0" w:after="0"/>
              <w:jc w:val="left"/>
              <w:rPr/>
            </w:pPr>
            <w:r>
              <w:rPr>
                <w:rFonts w:eastAsia="Calibri"/>
                <w:kern w:val="0"/>
                <w:sz w:val="22"/>
                <w:szCs w:val="22"/>
                <w:lang w:val="es-ES" w:eastAsia="en-US" w:bidi="ar-SA"/>
              </w:rPr>
              <w:t>2.3. Integrar las leyes y teorías científicas conocidas en el desarrollo del procedimiento de la validación de las hipótesis formuladas, aplicando relaciones cualitativas y cuantitativas entre las diferentes variables, de manera que el proceso sea más fiable y coherente con el conocimiento científico adquirido.</w:t>
            </w:r>
          </w:p>
        </w:tc>
      </w:tr>
      <w:tr>
        <w:trPr/>
        <w:tc>
          <w:tcPr>
            <w:tcW w:w="10485" w:type="dxa"/>
            <w:tcBorders>
              <w:top w:val="single" w:sz="4" w:space="0" w:color="000000"/>
              <w:left w:val="single" w:sz="4" w:space="0" w:color="000000"/>
              <w:bottom w:val="single" w:sz="4" w:space="0" w:color="000000"/>
              <w:right w:val="single" w:sz="4" w:space="0" w:color="000000"/>
            </w:tcBorders>
            <w:shd w:fill="8EAADB" w:val="clear"/>
          </w:tcPr>
          <w:p>
            <w:pPr>
              <w:pStyle w:val="Normal"/>
              <w:widowControl/>
              <w:spacing w:lineRule="auto" w:line="240" w:before="0" w:after="0"/>
              <w:jc w:val="center"/>
              <w:rPr/>
            </w:pPr>
            <w:r>
              <w:rPr>
                <w:rFonts w:eastAsia="Calibri"/>
                <w:b/>
                <w:kern w:val="0"/>
                <w:sz w:val="22"/>
                <w:szCs w:val="22"/>
                <w:lang w:val="es-ES" w:eastAsia="en-US" w:bidi="ar-SA"/>
              </w:rPr>
              <w:t>CE.FQ.3</w:t>
            </w:r>
          </w:p>
        </w:tc>
      </w:tr>
      <w:tr>
        <w:trPr/>
        <w:tc>
          <w:tcPr>
            <w:tcW w:w="10485" w:type="dxa"/>
            <w:tcBorders>
              <w:top w:val="single" w:sz="4" w:space="0" w:color="000000"/>
              <w:left w:val="single" w:sz="4" w:space="0" w:color="000000"/>
              <w:bottom w:val="single" w:sz="4" w:space="0" w:color="000000"/>
              <w:right w:val="single" w:sz="4" w:space="0" w:color="000000"/>
            </w:tcBorders>
            <w:shd w:fill="DEEAF6" w:val="clear"/>
          </w:tcPr>
          <w:p>
            <w:pPr>
              <w:pStyle w:val="Normal"/>
              <w:widowControl/>
              <w:spacing w:lineRule="auto" w:line="240" w:before="0" w:after="0"/>
              <w:rPr/>
            </w:pPr>
            <w:r>
              <w:rPr>
                <w:rFonts w:eastAsia="Calibri"/>
                <w:i/>
                <w:kern w:val="0"/>
                <w:sz w:val="22"/>
                <w:szCs w:val="22"/>
                <w:lang w:val="es-ES" w:eastAsia="en-US" w:bidi="ar-SA"/>
              </w:rPr>
              <w:t>Manejar con propiedad y solvencia el flujo de información en los diferentes registros de comunicación de la ciencia como la nomenclatura de compuestos químicos, el uso del lenguaje matemático, el uso correcto de las unidades de medida, la seguridad en el trabajo experimental, para la producción e interpretación de información en diferentes formatos y a partir de fuentes diversas.</w:t>
            </w:r>
          </w:p>
        </w:tc>
      </w:tr>
      <w:tr>
        <w:trPr/>
        <w:tc>
          <w:tcPr>
            <w:tcW w:w="10485" w:type="dxa"/>
            <w:tcBorders>
              <w:top w:val="single" w:sz="4" w:space="0" w:color="000000"/>
              <w:left w:val="single" w:sz="4" w:space="0" w:color="000000"/>
              <w:bottom w:val="single" w:sz="4" w:space="0" w:color="000000"/>
              <w:right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pPr>
            <w:r>
              <w:rPr>
                <w:rFonts w:eastAsia="Calibri"/>
                <w:kern w:val="0"/>
                <w:sz w:val="22"/>
                <w:szCs w:val="22"/>
                <w:lang w:val="es-ES" w:eastAsia="en-US" w:bidi="ar-SA"/>
              </w:rPr>
              <w:t>3.2. Nombrar y formular correctamente sustancias simples, iones y compuestos químicos inorgánicos y orgánicos utilizando las normas de la IUPAC, como parte de un lenguaje integrador y universal para toda la comunidad científica.</w:t>
            </w:r>
          </w:p>
          <w:p>
            <w:pPr>
              <w:pStyle w:val="Normal"/>
              <w:widowControl/>
              <w:spacing w:lineRule="auto" w:line="240" w:before="0" w:after="0"/>
              <w:jc w:val="left"/>
              <w:rPr/>
            </w:pPr>
            <w:r>
              <w:rPr>
                <w:rFonts w:eastAsia="Calibri"/>
                <w:kern w:val="0"/>
                <w:sz w:val="22"/>
                <w:szCs w:val="22"/>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p>
            <w:pPr>
              <w:pStyle w:val="Normal"/>
              <w:widowControl/>
              <w:spacing w:lineRule="auto" w:line="240" w:before="0" w:after="0"/>
              <w:jc w:val="left"/>
              <w:rPr/>
            </w:pPr>
            <w:r>
              <w:rPr>
                <w:rFonts w:eastAsia="Calibri"/>
                <w:kern w:val="0"/>
                <w:sz w:val="22"/>
                <w:szCs w:val="22"/>
                <w:lang w:val="es-ES" w:eastAsia="en-US" w:bidi="ar-SA"/>
              </w:rPr>
              <w:t>3.4. Poner en práctica los conocimientos adquiridos en la experimentación científica en laboratorio o campo, incluyendo el conocimiento de sus materiales y su normativa básica de uso, así como de las normas de seguridad propias de estos espacios, y comprendiendo la importancia en el progreso científico y emprendedor de que la experimentación sea segura, sin comprometer la integridad Física propia y colectiva.</w:t>
            </w:r>
          </w:p>
        </w:tc>
      </w:tr>
      <w:tr>
        <w:trPr/>
        <w:tc>
          <w:tcPr>
            <w:tcW w:w="10485" w:type="dxa"/>
            <w:tcBorders>
              <w:top w:val="single" w:sz="4" w:space="0" w:color="000000"/>
              <w:left w:val="single" w:sz="4" w:space="0" w:color="000000"/>
              <w:bottom w:val="single" w:sz="4" w:space="0" w:color="000000"/>
              <w:right w:val="single" w:sz="4" w:space="0" w:color="000000"/>
            </w:tcBorders>
            <w:shd w:fill="8EAADB" w:val="clear"/>
          </w:tcPr>
          <w:p>
            <w:pPr>
              <w:pStyle w:val="Normal"/>
              <w:widowControl/>
              <w:spacing w:lineRule="auto" w:line="240" w:before="0" w:after="0"/>
              <w:jc w:val="center"/>
              <w:rPr/>
            </w:pPr>
            <w:r>
              <w:rPr>
                <w:rFonts w:eastAsia="Calibri"/>
                <w:b/>
                <w:kern w:val="0"/>
                <w:sz w:val="22"/>
                <w:szCs w:val="22"/>
                <w:lang w:val="es-ES" w:eastAsia="en-US" w:bidi="ar-SA"/>
              </w:rPr>
              <w:t>CE.FQ.4</w:t>
            </w:r>
          </w:p>
        </w:tc>
      </w:tr>
      <w:tr>
        <w:trPr/>
        <w:tc>
          <w:tcPr>
            <w:tcW w:w="10485" w:type="dxa"/>
            <w:tcBorders>
              <w:top w:val="single" w:sz="4" w:space="0" w:color="000000"/>
              <w:left w:val="single" w:sz="4" w:space="0" w:color="000000"/>
              <w:bottom w:val="single" w:sz="4" w:space="0" w:color="000000"/>
              <w:right w:val="single" w:sz="4" w:space="0" w:color="000000"/>
            </w:tcBorders>
            <w:shd w:fill="DEEAF6" w:val="clear"/>
          </w:tcPr>
          <w:p>
            <w:pPr>
              <w:pStyle w:val="Normal"/>
              <w:widowControl/>
              <w:spacing w:lineRule="auto" w:line="240" w:before="0" w:after="0"/>
              <w:rPr/>
            </w:pPr>
            <w:r>
              <w:rPr>
                <w:rFonts w:eastAsia="Calibri"/>
                <w:i/>
                <w:kern w:val="0"/>
                <w:sz w:val="22"/>
                <w:szCs w:val="22"/>
                <w:lang w:val="es-ES" w:eastAsia="en-US" w:bidi="ar-SA"/>
              </w:rPr>
              <w:t>Utilizar de forma autónoma, crítica y eficiente plataformas digitales y recursos variados, tanto para el trabajo individual como en equipo, consultando y seleccionando información científica veraz, creando materiales en diversos formatos y comunicando de manera efectiva en diferentes entornos de aprendizaje, para fomentar la creatividad, el desarrollo personal y el aprendizaje individual y social.</w:t>
            </w:r>
          </w:p>
        </w:tc>
      </w:tr>
      <w:tr>
        <w:trPr/>
        <w:tc>
          <w:tcPr>
            <w:tcW w:w="10485" w:type="dxa"/>
            <w:tcBorders>
              <w:top w:val="single" w:sz="4" w:space="0" w:color="000000"/>
              <w:left w:val="single" w:sz="4" w:space="0" w:color="000000"/>
              <w:bottom w:val="single" w:sz="4" w:space="0" w:color="000000"/>
              <w:right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4.1. Interactuar con otros miembros de la comunidad educativa a través de diferentes entornos de aprendizaje, reales y virtuales, utilizando de forma autónoma y eficiente recursos variados, tradicionales y digitales, de forma rigurosa y respetuosa y analizando críticamente las aportaciones de todo el mundo.</w:t>
            </w:r>
          </w:p>
          <w:p>
            <w:pPr>
              <w:pStyle w:val="Normal"/>
              <w:widowControl/>
              <w:spacing w:lineRule="auto" w:line="240" w:before="0" w:after="0"/>
              <w:jc w:val="left"/>
              <w:rPr/>
            </w:pPr>
            <w:r>
              <w:rPr>
                <w:rFonts w:eastAsia="Calibri"/>
                <w:kern w:val="0"/>
                <w:sz w:val="22"/>
                <w:szCs w:val="22"/>
                <w:lang w:val="es-ES" w:eastAsia="en-US" w:bidi="ar-SA"/>
              </w:rPr>
              <w:t>4.2. Trabajar de forma autónoma y versátil, individualmente y en grupo, en la consulta de información y la creación de contenidos, utilizando con criterio las fuentes y herramientas más fiables, y desechando las menos adecuadas, mejorando así el aprendizaje propio y colectivo.</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r>
          </w:p>
        </w:tc>
      </w:tr>
      <w:tr>
        <w:trPr/>
        <w:tc>
          <w:tcPr>
            <w:tcW w:w="10485" w:type="dxa"/>
            <w:tcBorders>
              <w:top w:val="single" w:sz="4" w:space="0" w:color="000000"/>
              <w:left w:val="single" w:sz="4" w:space="0" w:color="000000"/>
              <w:bottom w:val="single" w:sz="4" w:space="0" w:color="000000"/>
              <w:right w:val="single" w:sz="4" w:space="0" w:color="000000"/>
            </w:tcBorders>
            <w:shd w:fill="8EAADB" w:val="clear"/>
          </w:tcPr>
          <w:p>
            <w:pPr>
              <w:pStyle w:val="Normal"/>
              <w:widowControl/>
              <w:spacing w:lineRule="auto" w:line="240" w:before="0" w:after="0"/>
              <w:jc w:val="center"/>
              <w:rPr/>
            </w:pPr>
            <w:r>
              <w:rPr>
                <w:rFonts w:eastAsia="Calibri"/>
                <w:b/>
                <w:kern w:val="0"/>
                <w:sz w:val="22"/>
                <w:szCs w:val="22"/>
                <w:lang w:val="es-ES" w:eastAsia="en-US" w:bidi="ar-SA"/>
              </w:rPr>
              <w:t>CE.FQ.5</w:t>
            </w:r>
          </w:p>
        </w:tc>
      </w:tr>
      <w:tr>
        <w:trPr/>
        <w:tc>
          <w:tcPr>
            <w:tcW w:w="10485" w:type="dxa"/>
            <w:tcBorders>
              <w:top w:val="single" w:sz="4" w:space="0" w:color="000000"/>
              <w:left w:val="single" w:sz="4" w:space="0" w:color="000000"/>
              <w:bottom w:val="single" w:sz="4" w:space="0" w:color="000000"/>
              <w:right w:val="single" w:sz="4" w:space="0" w:color="000000"/>
            </w:tcBorders>
            <w:shd w:fill="DEEAF6" w:val="clear"/>
          </w:tcPr>
          <w:p>
            <w:pPr>
              <w:pStyle w:val="Normal"/>
              <w:widowControl/>
              <w:spacing w:lineRule="auto" w:line="240" w:before="0" w:after="0"/>
              <w:rPr/>
            </w:pPr>
            <w:r>
              <w:rPr>
                <w:rFonts w:eastAsia="Calibri"/>
                <w:i/>
                <w:kern w:val="0"/>
                <w:sz w:val="22"/>
                <w:szCs w:val="22"/>
                <w:lang w:val="es-ES" w:eastAsia="en-US" w:bidi="ar-SA"/>
              </w:rPr>
              <w:t>Trabajar de forma colaborativa en equipos diversos, aplicando habilidades de coordinación, comunicación, emprendimiento y reparto equilibrado de responsabilidades, para predecir las consecuencias de los avances científicos y su influencia sobre la salud propia y comunitaria y sobre el desarrollo medioambiental sostenible.</w:t>
            </w:r>
          </w:p>
        </w:tc>
      </w:tr>
      <w:tr>
        <w:trPr/>
        <w:tc>
          <w:tcPr>
            <w:tcW w:w="10485" w:type="dxa"/>
            <w:tcBorders>
              <w:top w:val="single" w:sz="4" w:space="0" w:color="000000"/>
              <w:left w:val="single" w:sz="4" w:space="0" w:color="000000"/>
              <w:bottom w:val="single" w:sz="4" w:space="0" w:color="000000"/>
              <w:right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5.1. Participar de manera activa en la construcción del conocimiento científico, evidenciando la presencia de la interacción, la cooperación y la evaluación entre iguales, mejorando la capacidad de cuestionamiento, la reflexión y el debate al alcanzar el consenso en la resolución de un problema o situación de aprendizaje.</w:t>
            </w:r>
          </w:p>
          <w:p>
            <w:pPr>
              <w:pStyle w:val="Normal"/>
              <w:widowControl/>
              <w:spacing w:lineRule="auto" w:line="240" w:before="0" w:after="0"/>
              <w:jc w:val="left"/>
              <w:rPr/>
            </w:pPr>
            <w:r>
              <w:rPr>
                <w:rFonts w:eastAsia="Calibri"/>
                <w:kern w:val="0"/>
                <w:sz w:val="22"/>
                <w:szCs w:val="22"/>
                <w:lang w:val="es-ES" w:eastAsia="en-US" w:bidi="ar-SA"/>
              </w:rPr>
              <w:t>5.2. Construir y producir conocimientos a través del trabajo colectivo, además de explorar alternativas para superar la asimilación de conocimientos ya elaborados y encontrando momentos para el análisis, la discusión y la síntesis, obteniendo como resultado la elaboración de productos representados en informes, pósteres, presentaciones, artículos, etc.</w:t>
            </w:r>
          </w:p>
          <w:p>
            <w:pPr>
              <w:pStyle w:val="Normal"/>
              <w:widowControl/>
              <w:spacing w:lineRule="auto" w:line="240" w:before="0" w:after="0"/>
              <w:jc w:val="left"/>
              <w:rPr/>
            </w:pPr>
            <w:r>
              <w:rPr>
                <w:rFonts w:eastAsia="Calibri"/>
                <w:kern w:val="0"/>
                <w:sz w:val="22"/>
                <w:szCs w:val="22"/>
                <w:lang w:val="es-ES" w:eastAsia="en-US" w:bidi="ar-SA"/>
              </w:rPr>
              <w:t>5.3. Debatir, de forma informada y argumentada, sobre las diferentes cuestiones medioambientales, sociales y éticas relacionadas con el desarrollo de las ciencias, alcanzando un consenso sobre las consecuencias de estos avances y proponiendo soluciones creativas en común a las cuestiones planteadas.</w:t>
            </w:r>
          </w:p>
        </w:tc>
      </w:tr>
      <w:tr>
        <w:trPr/>
        <w:tc>
          <w:tcPr>
            <w:tcW w:w="10485" w:type="dxa"/>
            <w:tcBorders>
              <w:top w:val="single" w:sz="4" w:space="0" w:color="000000"/>
              <w:left w:val="single" w:sz="4" w:space="0" w:color="000000"/>
              <w:bottom w:val="single" w:sz="4" w:space="0" w:color="000000"/>
              <w:right w:val="single" w:sz="4" w:space="0" w:color="000000"/>
            </w:tcBorders>
            <w:shd w:fill="8EAADB" w:val="clear"/>
          </w:tcPr>
          <w:p>
            <w:pPr>
              <w:pStyle w:val="Normal"/>
              <w:widowControl/>
              <w:spacing w:lineRule="auto" w:line="240" w:before="0" w:after="0"/>
              <w:jc w:val="center"/>
              <w:rPr/>
            </w:pPr>
            <w:r>
              <w:rPr>
                <w:rFonts w:eastAsia="Calibri"/>
                <w:b/>
                <w:kern w:val="0"/>
                <w:sz w:val="22"/>
                <w:szCs w:val="22"/>
                <w:lang w:val="es-ES" w:eastAsia="en-US" w:bidi="ar-SA"/>
              </w:rPr>
              <w:t>CE.FQ.6</w:t>
            </w:r>
          </w:p>
        </w:tc>
      </w:tr>
      <w:tr>
        <w:trPr/>
        <w:tc>
          <w:tcPr>
            <w:tcW w:w="10485" w:type="dxa"/>
            <w:tcBorders>
              <w:top w:val="single" w:sz="4" w:space="0" w:color="000000"/>
              <w:left w:val="single" w:sz="4" w:space="0" w:color="000000"/>
              <w:bottom w:val="single" w:sz="4" w:space="0" w:color="000000"/>
              <w:right w:val="single" w:sz="4" w:space="0" w:color="000000"/>
            </w:tcBorders>
            <w:shd w:fill="DEEAF6" w:val="clear"/>
          </w:tcPr>
          <w:p>
            <w:pPr>
              <w:pStyle w:val="Normal"/>
              <w:widowControl/>
              <w:spacing w:lineRule="auto" w:line="240" w:before="0" w:after="0"/>
              <w:rPr/>
            </w:pPr>
            <w:r>
              <w:rPr>
                <w:rFonts w:eastAsia="Calibri"/>
                <w:i/>
                <w:kern w:val="0"/>
                <w:sz w:val="22"/>
                <w:szCs w:val="22"/>
                <w:lang w:val="es-ES" w:eastAsia="en-US" w:bidi="ar-SA"/>
              </w:rPr>
              <w:t>Participar de forma activa en la construcción colectiva y evolutiva del conocimiento científico, en su entorno cotidiano y cercano, para convertirse en agentes activos de la difusión del pensamiento científico, la aproximación escéptica a la información científica y tecnológica y la puesta en valor de la preservación del medioambiente y la salud pública, el desarrollo económico y la búsqueda de una sociedad igualitaria.</w:t>
            </w:r>
          </w:p>
        </w:tc>
      </w:tr>
      <w:tr>
        <w:trPr/>
        <w:tc>
          <w:tcPr>
            <w:tcW w:w="10485" w:type="dxa"/>
            <w:tcBorders>
              <w:top w:val="single" w:sz="4" w:space="0" w:color="000000"/>
              <w:left w:val="single" w:sz="4" w:space="0" w:color="000000"/>
              <w:bottom w:val="single" w:sz="4" w:space="0" w:color="000000"/>
              <w:right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6.1. Identificar y argumentar científicamente las repercusiones de las acciones que el alumno o la alumna acometen en su vida cotidiana, analizando cómo mejorarlas como forma de participar activamente en la construcción de una sociedad mejor.</w:t>
            </w:r>
          </w:p>
          <w:p>
            <w:pPr>
              <w:pStyle w:val="Normal"/>
              <w:widowControl/>
              <w:spacing w:lineRule="auto" w:line="240" w:before="0" w:after="0"/>
              <w:jc w:val="left"/>
              <w:rPr/>
            </w:pPr>
            <w:r>
              <w:rPr>
                <w:rFonts w:eastAsia="Calibri"/>
                <w:kern w:val="0"/>
                <w:sz w:val="22"/>
                <w:szCs w:val="22"/>
                <w:lang w:val="es-ES" w:eastAsia="en-US" w:bidi="ar-SA"/>
              </w:rPr>
              <w:t>6.2. Detectar las necesidades de la sociedad sobre las que aplicar los conocimientos científicos adecuados que ayuden a mejorarla, incidiendo especialmente en aspectos importantes como el desarrollo sostenible y la preservación de la salud.</w:t>
            </w:r>
          </w:p>
        </w:tc>
      </w:tr>
    </w:tbl>
    <w:p>
      <w:pPr>
        <w:pStyle w:val="Ttulo1"/>
        <w:ind w:left="0" w:right="0" w:hanging="0"/>
        <w:jc w:val="both"/>
        <w:rPr>
          <w:rFonts w:ascii="Cambria" w:hAnsi="Cambria" w:eastAsia="Cambria" w:cs="Cambria"/>
        </w:rPr>
      </w:pPr>
      <w:r>
        <w:rPr>
          <w:rFonts w:eastAsia="Cambria" w:cs="Cambria" w:ascii="Cambria" w:hAnsi="Cambria"/>
        </w:rPr>
      </w:r>
    </w:p>
    <w:p>
      <w:pPr>
        <w:pStyle w:val="Normal"/>
        <w:jc w:val="both"/>
        <w:rPr/>
      </w:pPr>
      <w:r>
        <w:rPr>
          <w:rFonts w:eastAsia="Cambria" w:cs="Cambria" w:ascii="Cambria" w:hAnsi="Cambria"/>
          <w:b/>
          <w:u w:val="single"/>
        </w:rPr>
        <w:t>2. CONCRECIÓN, AGRUPAMIENTO Y SECUENCIACIÓN DE LOS SABERES BÁSICOS Y DE LOS CRITERIOS DE EVALUACIÓN EN UNIDADES DIDÁCTICAS</w:t>
      </w:r>
    </w:p>
    <w:p>
      <w:pPr>
        <w:pStyle w:val="Normal"/>
        <w:jc w:val="both"/>
        <w:rPr>
          <w:rFonts w:ascii="Calibri" w:hAnsi="Calibri"/>
          <w:sz w:val="22"/>
          <w:szCs w:val="22"/>
        </w:rPr>
      </w:pPr>
      <w:r>
        <w:rPr>
          <w:sz w:val="22"/>
          <w:szCs w:val="22"/>
        </w:rPr>
      </w:r>
    </w:p>
    <w:p>
      <w:pPr>
        <w:pStyle w:val="Estiloparrafos"/>
        <w:bidi w:val="0"/>
        <w:rPr/>
      </w:pPr>
      <w:r>
        <w:rPr>
          <w:rFonts w:ascii="Calibri" w:hAnsi="Calibri"/>
          <w:sz w:val="22"/>
          <w:szCs w:val="22"/>
        </w:rPr>
        <w:t xml:space="preserve">En la tabla siguiente se indican los saberes básicos mediante la relación entre su concreción y los conocimientos, destrezas y actitudes asociados a cada uno de ellos. </w:t>
      </w:r>
    </w:p>
    <w:p>
      <w:pPr>
        <w:pStyle w:val="Estiloparrafos"/>
        <w:bidi w:val="0"/>
        <w:rPr>
          <w:rFonts w:ascii="Calibri" w:hAnsi="Calibri"/>
          <w:sz w:val="22"/>
          <w:szCs w:val="22"/>
        </w:rPr>
      </w:pPr>
      <w:r>
        <w:rPr>
          <w:rFonts w:ascii="Calibri" w:hAnsi="Calibri"/>
          <w:sz w:val="22"/>
          <w:szCs w:val="22"/>
        </w:rPr>
      </w:r>
    </w:p>
    <w:tbl>
      <w:tblPr>
        <w:tblW w:w="9645" w:type="dxa"/>
        <w:jc w:val="left"/>
        <w:tblInd w:w="0" w:type="dxa"/>
        <w:tblCellMar>
          <w:top w:w="55" w:type="dxa"/>
          <w:left w:w="55" w:type="dxa"/>
          <w:bottom w:w="55" w:type="dxa"/>
          <w:right w:w="55" w:type="dxa"/>
        </w:tblCellMar>
      </w:tblPr>
      <w:tblGrid>
        <w:gridCol w:w="3912"/>
        <w:gridCol w:w="5732"/>
      </w:tblGrid>
      <w:tr>
        <w:trPr/>
        <w:tc>
          <w:tcPr>
            <w:tcW w:w="3912" w:type="dxa"/>
            <w:tcBorders>
              <w:top w:val="single" w:sz="4" w:space="0" w:color="000000"/>
              <w:left w:val="single" w:sz="4" w:space="0" w:color="000000"/>
              <w:bottom w:val="single" w:sz="4" w:space="0" w:color="000000"/>
            </w:tcBorders>
            <w:shd w:fill="729FCF" w:val="clear"/>
          </w:tcPr>
          <w:p>
            <w:pPr>
              <w:pStyle w:val="Normal"/>
              <w:widowControl/>
              <w:spacing w:lineRule="auto" w:line="240" w:before="0" w:after="0"/>
              <w:jc w:val="center"/>
              <w:rPr/>
            </w:pPr>
            <w:r>
              <w:rPr>
                <w:rFonts w:eastAsia="Calibri"/>
                <w:b/>
                <w:bCs/>
                <w:kern w:val="0"/>
                <w:sz w:val="22"/>
                <w:szCs w:val="22"/>
                <w:lang w:val="es-ES" w:eastAsia="en-US" w:bidi="ar-SA"/>
              </w:rPr>
              <w:t>Concreción de los saberes básicos</w:t>
            </w:r>
          </w:p>
        </w:tc>
        <w:tc>
          <w:tcPr>
            <w:tcW w:w="5732" w:type="dxa"/>
            <w:tcBorders>
              <w:top w:val="single" w:sz="4" w:space="0" w:color="000000"/>
              <w:left w:val="single" w:sz="4" w:space="0" w:color="000000"/>
              <w:bottom w:val="single" w:sz="4" w:space="0" w:color="000000"/>
              <w:right w:val="single" w:sz="4" w:space="0" w:color="000000"/>
            </w:tcBorders>
            <w:shd w:fill="729FCF" w:val="clear"/>
          </w:tcPr>
          <w:p>
            <w:pPr>
              <w:pStyle w:val="DC1"/>
              <w:widowControl/>
              <w:numPr>
                <w:ilvl w:val="0"/>
                <w:numId w:val="0"/>
              </w:numPr>
              <w:spacing w:before="0" w:after="0"/>
              <w:ind w:left="720" w:right="0" w:hanging="0"/>
              <w:jc w:val="center"/>
              <w:rPr/>
            </w:pPr>
            <w:r>
              <w:rPr>
                <w:rFonts w:eastAsia="Calibri"/>
                <w:b/>
                <w:bCs/>
                <w:kern w:val="0"/>
                <w:sz w:val="22"/>
                <w:szCs w:val="22"/>
                <w:lang w:val="es-ES" w:eastAsia="en-US" w:bidi="ar-SA"/>
              </w:rPr>
              <w:t>Conocimientos, destrezas y actitudes</w:t>
            </w:r>
          </w:p>
        </w:tc>
      </w:tr>
      <w:tr>
        <w:trPr/>
        <w:tc>
          <w:tcPr>
            <w:tcW w:w="3912" w:type="dxa"/>
            <w:tcBorders>
              <w:left w:val="single" w:sz="4" w:space="0" w:color="000000"/>
              <w:bottom w:val="single" w:sz="4" w:space="0" w:color="000000"/>
            </w:tcBorders>
            <w:shd w:fill="B4C7DC" w:val="clear"/>
          </w:tcPr>
          <w:p>
            <w:pPr>
              <w:pStyle w:val="Normal"/>
              <w:widowControl/>
              <w:spacing w:lineRule="auto" w:line="240" w:before="0" w:after="0"/>
              <w:jc w:val="both"/>
              <w:rPr/>
            </w:pPr>
            <w:r>
              <w:rPr>
                <w:rFonts w:eastAsia="Calibri"/>
                <w:b/>
                <w:kern w:val="0"/>
                <w:sz w:val="22"/>
                <w:szCs w:val="22"/>
                <w:lang w:val="es-ES" w:eastAsia="en-US" w:bidi="ar-SA"/>
              </w:rPr>
              <w:t>A. Enlace químico y estructura de la materia</w:t>
            </w:r>
          </w:p>
        </w:tc>
        <w:tc>
          <w:tcPr>
            <w:tcW w:w="5732" w:type="dxa"/>
            <w:tcBorders>
              <w:left w:val="single" w:sz="4" w:space="0" w:color="000000"/>
              <w:bottom w:val="single" w:sz="4" w:space="0" w:color="000000"/>
              <w:right w:val="single" w:sz="4" w:space="0" w:color="000000"/>
            </w:tcBorders>
            <w:shd w:fill="auto" w:val="clear"/>
          </w:tcPr>
          <w:p>
            <w:pPr>
              <w:pStyle w:val="DC1"/>
              <w:widowControl/>
              <w:numPr>
                <w:ilvl w:val="0"/>
                <w:numId w:val="1"/>
              </w:numPr>
              <w:spacing w:before="0" w:after="0"/>
              <w:ind w:left="0" w:right="0" w:hanging="0"/>
              <w:jc w:val="both"/>
              <w:rPr/>
            </w:pPr>
            <w:r>
              <w:rPr>
                <w:rFonts w:eastAsia="Calibri"/>
                <w:kern w:val="0"/>
                <w:sz w:val="22"/>
                <w:szCs w:val="22"/>
                <w:lang w:val="es-ES" w:eastAsia="en-US" w:bidi="ar-SA"/>
              </w:rPr>
              <w:t>Desarrollo de la tabla periódica: contribuciones históricas a su elaboración actual e importancia como herramienta predictiva de las propiedades de los elementos.</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Estructura electrónica de los átomos tras el análisis de su interacción con la radiación electromagnética: explicación de la posición de un elemento en la tabla periódica y de la similitud en las propiedades de los elementos químicos de cada grupo.</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Teorías sobre la estabilidad de los átomos e iones: predicción de la formación de enlaces entre los elementos, representación de estos y deducción de cuáles son las propiedades de las sustancias Químicas. Comprobación a través de la observación y la experimentación.</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Nomenclatura de sustancias simples, iones y compuestos químicos inorgánicos: composición y las aplicaciones que tienen en la vida cotidiana.</w:t>
            </w:r>
          </w:p>
        </w:tc>
      </w:tr>
      <w:tr>
        <w:trPr/>
        <w:tc>
          <w:tcPr>
            <w:tcW w:w="3912" w:type="dxa"/>
            <w:tcBorders>
              <w:left w:val="single" w:sz="4" w:space="0" w:color="000000"/>
              <w:bottom w:val="single" w:sz="4" w:space="0" w:color="000000"/>
            </w:tcBorders>
            <w:shd w:fill="B4C7DC" w:val="clear"/>
          </w:tcPr>
          <w:p>
            <w:pPr>
              <w:pStyle w:val="Normal"/>
              <w:widowControl/>
              <w:spacing w:lineRule="auto" w:line="240" w:before="0" w:after="0"/>
              <w:jc w:val="both"/>
              <w:rPr/>
            </w:pPr>
            <w:r>
              <w:rPr>
                <w:rFonts w:eastAsia="Calibri"/>
                <w:b/>
                <w:kern w:val="0"/>
                <w:sz w:val="22"/>
                <w:szCs w:val="22"/>
                <w:lang w:val="es-ES" w:eastAsia="en-US" w:bidi="ar-SA"/>
              </w:rPr>
              <w:t>B. Reacciones Químicas</w:t>
            </w:r>
          </w:p>
        </w:tc>
        <w:tc>
          <w:tcPr>
            <w:tcW w:w="5732" w:type="dxa"/>
            <w:tcBorders>
              <w:left w:val="single" w:sz="4" w:space="0" w:color="000000"/>
              <w:bottom w:val="single" w:sz="4" w:space="0" w:color="000000"/>
              <w:right w:val="single" w:sz="4" w:space="0" w:color="000000"/>
            </w:tcBorders>
            <w:shd w:fill="auto" w:val="clear"/>
          </w:tcPr>
          <w:p>
            <w:pPr>
              <w:pStyle w:val="DC1"/>
              <w:widowControl/>
              <w:numPr>
                <w:ilvl w:val="0"/>
                <w:numId w:val="1"/>
              </w:numPr>
              <w:spacing w:before="0" w:after="0"/>
              <w:ind w:left="0" w:right="0" w:hanging="0"/>
              <w:jc w:val="both"/>
              <w:rPr/>
            </w:pPr>
            <w:r>
              <w:rPr>
                <w:rFonts w:eastAsia="Calibri"/>
                <w:kern w:val="0"/>
                <w:sz w:val="22"/>
                <w:szCs w:val="22"/>
                <w:lang w:val="es-ES" w:eastAsia="en-US" w:bidi="ar-SA"/>
              </w:rPr>
              <w:t>Leyes fundamentales de la Química: relaciones estequiométricas en las reacciones Químicas y en la composición de los compuestos. Resolución de cuestiones cuantitativas relacionadas con la Química en la vida cotidiana.</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Clasificación de las reacciones Químicas: relaciones que existen entre la Química y aspectos importantes de la sociedad actual como, por ejemplo, la conservación del medioambiente o el desarrollo de fármacos.</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Cálculo de cantidades de materia en sistemas fisicoquímicos concretos, como gases ideales o disoluciones y sus propiedades: variables mesurables propias del estado de los mismos en situaciones de la vida cotidiana.</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Estequiometría de las reacciones Químicas: aplicaciones en los procesos industriales más significativos de la ingeniería Química.</w:t>
            </w:r>
          </w:p>
        </w:tc>
      </w:tr>
      <w:tr>
        <w:trPr/>
        <w:tc>
          <w:tcPr>
            <w:tcW w:w="3912" w:type="dxa"/>
            <w:tcBorders>
              <w:left w:val="single" w:sz="4" w:space="0" w:color="000000"/>
              <w:bottom w:val="single" w:sz="4" w:space="0" w:color="000000"/>
            </w:tcBorders>
            <w:shd w:fill="B4C7DC" w:val="clear"/>
          </w:tcPr>
          <w:p>
            <w:pPr>
              <w:pStyle w:val="Normal"/>
              <w:widowControl/>
              <w:spacing w:lineRule="auto" w:line="240" w:before="0" w:after="0"/>
              <w:jc w:val="both"/>
              <w:rPr/>
            </w:pPr>
            <w:r>
              <w:rPr>
                <w:rFonts w:eastAsia="Calibri"/>
                <w:b/>
                <w:kern w:val="0"/>
                <w:sz w:val="22"/>
                <w:szCs w:val="22"/>
                <w:lang w:val="es-ES" w:eastAsia="en-US" w:bidi="ar-SA"/>
              </w:rPr>
              <w:t>C. Química orgánica</w:t>
            </w:r>
          </w:p>
        </w:tc>
        <w:tc>
          <w:tcPr>
            <w:tcW w:w="5732" w:type="dxa"/>
            <w:tcBorders>
              <w:left w:val="single" w:sz="4" w:space="0" w:color="000000"/>
              <w:bottom w:val="single" w:sz="4" w:space="0" w:color="000000"/>
              <w:right w:val="single" w:sz="4" w:space="0" w:color="000000"/>
            </w:tcBorders>
            <w:shd w:fill="auto" w:val="clear"/>
          </w:tcPr>
          <w:p>
            <w:pPr>
              <w:pStyle w:val="DC1"/>
              <w:widowControl/>
              <w:numPr>
                <w:ilvl w:val="0"/>
                <w:numId w:val="1"/>
              </w:numPr>
              <w:spacing w:before="0" w:after="0"/>
              <w:ind w:left="0" w:right="0" w:hanging="0"/>
              <w:jc w:val="both"/>
              <w:rPr/>
            </w:pPr>
            <w:r>
              <w:rPr>
                <w:rFonts w:eastAsia="Calibri"/>
                <w:kern w:val="0"/>
                <w:sz w:val="22"/>
                <w:szCs w:val="22"/>
                <w:lang w:val="es-ES" w:eastAsia="en-US" w:bidi="ar-SA"/>
              </w:rPr>
              <w:t>Propiedades físicas y químicas generales de los compuestos orgánicos a partir de las estructuras químicas de sus grupos funcionales: generalidades en las diferentes series homólogas y aplicaciones en el mundo real.</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Reglas de la IUPAC para formular y nombrar correctamente algunos compuestos orgánicos mono- y polifuncionales (hidrocarburos, compuestos oxigenados y compuestos nitrogenados).</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Isomería. Fórmulas moleculares y desarrolladas de compuestos orgánicos. Diferentes tipos de isomería estructural. Modelos moleculares o técnicas de representación 3D de moléculas. Isómeros espaciales de un compuesto y sus propiedades.</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Reactividad orgánica. Principales propiedades químicas de las distintas funciones orgánicas. Comportamiento en disolución o en reacciones químicas. Principales tipos de reacciones orgánicas. Productos de la reacción entre compuestos orgánicos y las correspondientes ecuaciones químicas.</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Polímeros. Proceso de formación de los polímeros a partir de sus correspondientes monómeros. Estructura y propiedades. Clasificación de los polímeros según su naturaleza, estructura y composición. Aplicaciones, propiedades y riesgos medioambientales asociados.</w:t>
            </w:r>
          </w:p>
        </w:tc>
      </w:tr>
      <w:tr>
        <w:trPr/>
        <w:tc>
          <w:tcPr>
            <w:tcW w:w="3912" w:type="dxa"/>
            <w:tcBorders>
              <w:left w:val="single" w:sz="4" w:space="0" w:color="000000"/>
              <w:bottom w:val="single" w:sz="4" w:space="0" w:color="000000"/>
            </w:tcBorders>
            <w:shd w:fill="B4C7DC" w:val="clear"/>
          </w:tcPr>
          <w:p>
            <w:pPr>
              <w:pStyle w:val="Normal"/>
              <w:widowControl/>
              <w:spacing w:lineRule="auto" w:line="240" w:before="0" w:after="0"/>
              <w:jc w:val="both"/>
              <w:rPr/>
            </w:pPr>
            <w:r>
              <w:rPr>
                <w:rFonts w:eastAsia="Calibri"/>
                <w:b/>
                <w:kern w:val="0"/>
                <w:sz w:val="22"/>
                <w:szCs w:val="22"/>
                <w:lang w:val="es-ES" w:eastAsia="en-US" w:bidi="ar-SA"/>
              </w:rPr>
              <w:t>D. Cinemática</w:t>
            </w:r>
          </w:p>
        </w:tc>
        <w:tc>
          <w:tcPr>
            <w:tcW w:w="5732" w:type="dxa"/>
            <w:tcBorders>
              <w:left w:val="single" w:sz="4" w:space="0" w:color="000000"/>
              <w:bottom w:val="single" w:sz="4" w:space="0" w:color="000000"/>
              <w:right w:val="single" w:sz="4" w:space="0" w:color="000000"/>
            </w:tcBorders>
            <w:shd w:fill="auto" w:val="clear"/>
          </w:tcPr>
          <w:p>
            <w:pPr>
              <w:pStyle w:val="DC1"/>
              <w:widowControl/>
              <w:numPr>
                <w:ilvl w:val="0"/>
                <w:numId w:val="1"/>
              </w:numPr>
              <w:spacing w:before="0" w:after="0"/>
              <w:ind w:left="0" w:right="0" w:hanging="0"/>
              <w:jc w:val="both"/>
              <w:rPr/>
            </w:pPr>
            <w:r>
              <w:rPr>
                <w:rFonts w:eastAsia="Calibri"/>
                <w:kern w:val="0"/>
                <w:sz w:val="22"/>
                <w:szCs w:val="22"/>
                <w:lang w:val="es-ES" w:eastAsia="en-US" w:bidi="ar-SA"/>
              </w:rPr>
              <w:t>Variables cinemáticas en función del tiempo en los distintos movimientos que puede tener un objeto, con o sin fuerzas externas: resolución de situaciones reales relacionadas con la Física y el entorno cotidiano.</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Variables que influyen en un movimiento rectilíneo y circular: magnitudes y unidades empleadas. Movimientos cotidianos que presentan estos tipos de trayectoria.</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Relación de la trayectoria de un movimiento compuesto con las magnitudes que lo describen.</w:t>
            </w:r>
          </w:p>
        </w:tc>
      </w:tr>
      <w:tr>
        <w:trPr/>
        <w:tc>
          <w:tcPr>
            <w:tcW w:w="3912" w:type="dxa"/>
            <w:tcBorders>
              <w:left w:val="single" w:sz="4" w:space="0" w:color="000000"/>
              <w:bottom w:val="single" w:sz="4" w:space="0" w:color="000000"/>
            </w:tcBorders>
            <w:shd w:fill="B4C7DC" w:val="clear"/>
          </w:tcPr>
          <w:p>
            <w:pPr>
              <w:pStyle w:val="Normal"/>
              <w:widowControl/>
              <w:spacing w:lineRule="auto" w:line="240" w:before="0" w:after="0"/>
              <w:jc w:val="both"/>
              <w:rPr/>
            </w:pPr>
            <w:r>
              <w:rPr>
                <w:rFonts w:eastAsia="Calibri"/>
                <w:b/>
                <w:kern w:val="0"/>
                <w:sz w:val="22"/>
                <w:szCs w:val="22"/>
                <w:lang w:val="es-ES" w:eastAsia="en-US" w:bidi="ar-SA"/>
              </w:rPr>
              <w:t>E. Estática y dinámica</w:t>
            </w:r>
          </w:p>
        </w:tc>
        <w:tc>
          <w:tcPr>
            <w:tcW w:w="5732" w:type="dxa"/>
            <w:tcBorders>
              <w:left w:val="single" w:sz="4" w:space="0" w:color="000000"/>
              <w:bottom w:val="single" w:sz="4" w:space="0" w:color="000000"/>
              <w:right w:val="single" w:sz="4" w:space="0" w:color="000000"/>
            </w:tcBorders>
            <w:shd w:fill="auto" w:val="clear"/>
          </w:tcPr>
          <w:p>
            <w:pPr>
              <w:pStyle w:val="DC1"/>
              <w:widowControl/>
              <w:numPr>
                <w:ilvl w:val="0"/>
                <w:numId w:val="1"/>
              </w:numPr>
              <w:spacing w:before="0" w:after="0"/>
              <w:ind w:left="0" w:right="0" w:hanging="0"/>
              <w:jc w:val="both"/>
              <w:rPr/>
            </w:pPr>
            <w:r>
              <w:rPr>
                <w:rFonts w:eastAsia="Calibri"/>
                <w:kern w:val="0"/>
                <w:sz w:val="22"/>
                <w:szCs w:val="22"/>
                <w:lang w:val="es-ES" w:eastAsia="en-US" w:bidi="ar-SA"/>
              </w:rPr>
              <w:t>Predicción, a partir de la composición vectorial, del comportamiento estático o dinámico de una partícula o un sólido rígido.</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Relación de la mecánica vectorial aplicada sobre una partícula o un sólido rígido con su estado de reposo o de movimiento: aplicaciones estáticas o dinámicas de la Física en otros campos, como la ingeniería o el deporte.</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Interpretación de las leyes de la Dinámica en términos de magnitudes como la cantidad de movimiento y el impulso mecánico: aplicaciones en el mundo real.</w:t>
            </w:r>
          </w:p>
        </w:tc>
      </w:tr>
      <w:tr>
        <w:trPr/>
        <w:tc>
          <w:tcPr>
            <w:tcW w:w="3912" w:type="dxa"/>
            <w:tcBorders>
              <w:left w:val="single" w:sz="4" w:space="0" w:color="000000"/>
              <w:bottom w:val="single" w:sz="4" w:space="0" w:color="000000"/>
            </w:tcBorders>
            <w:shd w:fill="B4C7DC" w:val="clear"/>
          </w:tcPr>
          <w:p>
            <w:pPr>
              <w:pStyle w:val="Normal"/>
              <w:widowControl/>
              <w:spacing w:lineRule="auto" w:line="240" w:before="0" w:after="0"/>
              <w:jc w:val="both"/>
              <w:rPr/>
            </w:pPr>
            <w:r>
              <w:rPr>
                <w:rFonts w:eastAsia="Calibri"/>
                <w:b/>
                <w:kern w:val="0"/>
                <w:sz w:val="22"/>
                <w:szCs w:val="22"/>
                <w:lang w:val="es-ES" w:eastAsia="en-US" w:bidi="ar-SA"/>
              </w:rPr>
              <w:t>F. Energía</w:t>
            </w:r>
          </w:p>
        </w:tc>
        <w:tc>
          <w:tcPr>
            <w:tcW w:w="5732" w:type="dxa"/>
            <w:tcBorders>
              <w:left w:val="single" w:sz="4" w:space="0" w:color="000000"/>
              <w:bottom w:val="single" w:sz="4" w:space="0" w:color="000000"/>
              <w:right w:val="single" w:sz="4" w:space="0" w:color="000000"/>
            </w:tcBorders>
            <w:shd w:fill="auto" w:val="clear"/>
          </w:tcPr>
          <w:p>
            <w:pPr>
              <w:pStyle w:val="DC1"/>
              <w:widowControl/>
              <w:numPr>
                <w:ilvl w:val="0"/>
                <w:numId w:val="1"/>
              </w:numPr>
              <w:spacing w:before="0" w:after="0"/>
              <w:ind w:left="0" w:right="0" w:hanging="0"/>
              <w:jc w:val="both"/>
              <w:rPr/>
            </w:pPr>
            <w:r>
              <w:rPr>
                <w:rFonts w:eastAsia="Calibri"/>
                <w:kern w:val="0"/>
                <w:sz w:val="22"/>
                <w:szCs w:val="22"/>
                <w:lang w:val="es-ES" w:eastAsia="en-US" w:bidi="ar-SA"/>
              </w:rPr>
              <w:t>Conceptos de trabajo y potencia: elaboración de hipótesis sobre el consumo energético de sistemas mecánicos o eléctricos del entorno cotidiano y su rendimiento.</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Energía potencial y energía cinética de un sistema sencillo: aplicación a la conservación de la energía mecánica en sistemas conservativos y no conservativos y al estudio de las causas que producen el movimiento de los objetos en el mundo real.</w:t>
            </w:r>
          </w:p>
          <w:p>
            <w:pPr>
              <w:pStyle w:val="DC1"/>
              <w:widowControl/>
              <w:numPr>
                <w:ilvl w:val="0"/>
                <w:numId w:val="1"/>
              </w:numPr>
              <w:spacing w:before="0" w:after="0"/>
              <w:ind w:left="0" w:right="0" w:hanging="0"/>
              <w:jc w:val="both"/>
              <w:rPr/>
            </w:pPr>
            <w:r>
              <w:rPr>
                <w:rFonts w:eastAsia="Calibri"/>
                <w:kern w:val="0"/>
                <w:sz w:val="22"/>
                <w:szCs w:val="22"/>
                <w:lang w:val="es-ES" w:eastAsia="en-US" w:bidi="ar-SA"/>
              </w:rPr>
              <w:t>Variables termodinámicas de un sistema en función de las condiciones: determinación de las variaciones de temperatura que experimenta y las transferencias de energía que se producen con su entorno.</w:t>
            </w:r>
          </w:p>
        </w:tc>
      </w:tr>
    </w:tbl>
    <w:p>
      <w:pPr>
        <w:pStyle w:val="Estiloparrafos"/>
        <w:bidi w:val="0"/>
        <w:rPr>
          <w:rFonts w:ascii="Calibri" w:hAnsi="Calibri"/>
          <w:sz w:val="22"/>
          <w:szCs w:val="22"/>
        </w:rPr>
      </w:pPr>
      <w:r>
        <w:rPr>
          <w:rFonts w:ascii="Calibri" w:hAnsi="Calibri"/>
          <w:sz w:val="22"/>
          <w:szCs w:val="22"/>
        </w:rPr>
      </w:r>
    </w:p>
    <w:p>
      <w:pPr>
        <w:pStyle w:val="Estiloparrafos"/>
        <w:bidi w:val="0"/>
        <w:rPr/>
      </w:pPr>
      <w:r>
        <w:rPr>
          <w:rFonts w:ascii="Calibri" w:hAnsi="Calibri"/>
          <w:b/>
          <w:bCs/>
          <w:sz w:val="22"/>
          <w:szCs w:val="22"/>
          <w:u w:val="single"/>
        </w:rPr>
        <w:t xml:space="preserve">Unidades Didácticas: </w:t>
      </w:r>
    </w:p>
    <w:p>
      <w:pPr>
        <w:pStyle w:val="Estiloparrafos"/>
        <w:bidi w:val="0"/>
        <w:rPr>
          <w:rFonts w:ascii="Calibri" w:hAnsi="Calibri"/>
          <w:sz w:val="22"/>
          <w:szCs w:val="22"/>
        </w:rPr>
      </w:pPr>
      <w:r>
        <w:rPr>
          <w:rFonts w:ascii="Calibri" w:hAnsi="Calibri"/>
          <w:sz w:val="22"/>
          <w:szCs w:val="22"/>
        </w:rPr>
      </w:r>
    </w:p>
    <w:p>
      <w:pPr>
        <w:pStyle w:val="Normal"/>
        <w:jc w:val="both"/>
        <w:rPr/>
      </w:pPr>
      <w:r>
        <w:rPr>
          <w:color w:val="232020"/>
          <w:sz w:val="22"/>
          <w:szCs w:val="22"/>
        </w:rPr>
        <w:t>Seguidamente se desglosan las unidades didácticas. Para calcular el número aproximado de sesiones, se ha tiene en cuenta lo siguiente:</w:t>
      </w:r>
    </w:p>
    <w:p>
      <w:pPr>
        <w:pStyle w:val="Normal"/>
        <w:jc w:val="both"/>
        <w:rPr/>
      </w:pPr>
      <w:r>
        <w:rPr>
          <w:color w:val="232020"/>
          <w:sz w:val="22"/>
          <w:szCs w:val="22"/>
        </w:rPr>
        <w:t>- l</w:t>
      </w:r>
      <w:r>
        <w:rPr>
          <w:color w:val="000000"/>
          <w:sz w:val="22"/>
          <w:szCs w:val="22"/>
        </w:rPr>
        <w:t>a asignatura tiene asignadas cuatro horas semanales, lo que supone unas 135 horas anuales aproximadamente.</w:t>
      </w:r>
    </w:p>
    <w:p>
      <w:pPr>
        <w:pStyle w:val="Normal"/>
        <w:jc w:val="both"/>
        <w:rPr/>
      </w:pPr>
      <w:r>
        <w:rPr>
          <w:color w:val="000000"/>
          <w:sz w:val="22"/>
          <w:szCs w:val="22"/>
        </w:rPr>
        <w:t xml:space="preserve">- Se intentara realizar al menos dos pruebas escritas por trimestre </w:t>
      </w:r>
    </w:p>
    <w:p>
      <w:pPr>
        <w:pStyle w:val="Normal"/>
        <w:jc w:val="both"/>
        <w:rPr/>
      </w:pPr>
      <w:r>
        <w:rPr>
          <w:color w:val="000000"/>
          <w:sz w:val="22"/>
          <w:szCs w:val="22"/>
        </w:rPr>
        <w:t xml:space="preserve">- Se intentara realizar una practica por trimestre </w:t>
      </w:r>
    </w:p>
    <w:p>
      <w:pPr>
        <w:pStyle w:val="Estiloparrafos"/>
        <w:bidi w:val="0"/>
        <w:rPr>
          <w:rFonts w:ascii="Calibri" w:hAnsi="Calibri"/>
          <w:b/>
          <w:b/>
          <w:sz w:val="22"/>
          <w:szCs w:val="22"/>
        </w:rPr>
      </w:pPr>
      <w:r>
        <w:rPr>
          <w:rFonts w:ascii="Calibri" w:hAnsi="Calibri"/>
          <w:b/>
          <w:sz w:val="22"/>
          <w:szCs w:val="22"/>
        </w:rPr>
      </w:r>
    </w:p>
    <w:tbl>
      <w:tblPr>
        <w:tblW w:w="9645" w:type="dxa"/>
        <w:jc w:val="left"/>
        <w:tblInd w:w="0" w:type="dxa"/>
        <w:tblCellMar>
          <w:top w:w="55" w:type="dxa"/>
          <w:left w:w="55" w:type="dxa"/>
          <w:bottom w:w="55" w:type="dxa"/>
          <w:right w:w="55" w:type="dxa"/>
        </w:tblCellMar>
      </w:tblPr>
      <w:tblGrid>
        <w:gridCol w:w="1929"/>
        <w:gridCol w:w="1409"/>
        <w:gridCol w:w="3"/>
        <w:gridCol w:w="3122"/>
        <w:gridCol w:w="759"/>
        <w:gridCol w:w="2422"/>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TÍTULO:  La estructura de la materia</w:t>
            </w:r>
          </w:p>
        </w:tc>
      </w:tr>
      <w:tr>
        <w:trPr/>
        <w:tc>
          <w:tcPr>
            <w:tcW w:w="192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Nivel: 1º de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Trimestre: 1</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Temporalización: Septiembre-octubre</w:t>
            </w:r>
          </w:p>
        </w:tc>
        <w:tc>
          <w:tcPr>
            <w:tcW w:w="2422"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Sesiones: 8</w:t>
            </w:r>
          </w:p>
        </w:tc>
      </w:tr>
      <w:tr>
        <w:trPr>
          <w:trHeight w:val="684"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Competencias específicas</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Normal"/>
              <w:widowControl/>
              <w:spacing w:lineRule="auto" w:line="240" w:before="0" w:after="0"/>
              <w:jc w:val="center"/>
              <w:rPr/>
            </w:pPr>
            <w:r>
              <w:rPr>
                <w:rFonts w:eastAsia="Calibri"/>
                <w:b/>
                <w:bCs/>
                <w:i w:val="false"/>
                <w:iCs w:val="false"/>
                <w:strike w:val="false"/>
                <w:dstrike w:val="false"/>
                <w:outline w:val="false"/>
                <w:shadow w:val="false"/>
                <w:color w:val="000000"/>
                <w:kern w:val="0"/>
                <w:sz w:val="22"/>
                <w:szCs w:val="22"/>
                <w:u w:val="none"/>
                <w:lang w:val="es-ES" w:eastAsia="en-US" w:bidi="ar-SA"/>
              </w:rPr>
              <w:t>CE.FQ.1</w:t>
            </w:r>
          </w:p>
          <w:p>
            <w:pPr>
              <w:pStyle w:val="Estiloparrafos"/>
              <w:widowControl/>
              <w:bidi w:val="0"/>
              <w:spacing w:lineRule="auto" w:line="240"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pPr>
            <w:r>
              <w:rPr>
                <w:rFonts w:eastAsia="Calibri"/>
                <w:b/>
                <w:bCs w:val="false"/>
                <w:i w:val="false"/>
                <w:iCs w:val="false"/>
                <w:strike w:val="false"/>
                <w:dstrike w:val="false"/>
                <w:outline w:val="false"/>
                <w:shadow w:val="false"/>
                <w:color w:val="000000"/>
                <w:kern w:val="0"/>
                <w:sz w:val="22"/>
                <w:szCs w:val="22"/>
                <w:u w:val="none"/>
                <w:lang w:val="es-ES" w:eastAsia="en-US" w:bidi="ar-SA"/>
              </w:rPr>
              <w:t>3.4. Poner en práctica los conocimientos adquiridos en la experimentación científica en laboratorio o campo, incluyendo el conocimiento de sus materiales y su normativa básica de uso, así como de las normas de seguridad propias de estos espacios, y comprendiendo la importancia en el progreso científico y emprendedor de que la experimentación sea segura, sin comprometer la integridad Física propia y colectiva.</w:t>
            </w:r>
          </w:p>
          <w:p>
            <w:pPr>
              <w:pStyle w:val="Normal"/>
              <w:widowControl/>
              <w:spacing w:lineRule="auto" w:line="240" w:before="0" w:after="0"/>
              <w:jc w:val="left"/>
              <w:rPr>
                <w:rFonts w:ascii="Calibri" w:hAnsi="Calibri" w:eastAsia="Calibri"/>
                <w:b/>
                <w:b/>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bCs w:val="false"/>
                <w:i w:val="false"/>
                <w:iCs w:val="false"/>
                <w:strike w:val="false"/>
                <w:dstrike w:val="false"/>
                <w:outline w:val="false"/>
                <w:shadow w:val="false"/>
                <w:color w:val="000000"/>
                <w:kern w:val="0"/>
                <w:sz w:val="22"/>
                <w:szCs w:val="22"/>
                <w:u w:val="none"/>
                <w:lang w:val="es-ES" w:eastAsia="en-US" w:bidi="ar-SA"/>
              </w:rPr>
            </w:r>
          </w:p>
          <w:p>
            <w:pPr>
              <w:pStyle w:val="Normal"/>
              <w:widowControl/>
              <w:spacing w:lineRule="auto" w:line="240" w:before="0" w:after="0"/>
              <w:jc w:val="left"/>
              <w:rPr>
                <w:rFonts w:ascii="Calibri" w:hAnsi="Calibri" w:eastAsia="Calibri"/>
                <w:b/>
                <w:b/>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bCs w:val="false"/>
                <w:i w:val="false"/>
                <w:iCs w:val="false"/>
                <w:strike w:val="false"/>
                <w:dstrike w:val="false"/>
                <w:outline w:val="false"/>
                <w:shadow w:val="false"/>
                <w:color w:val="000000"/>
                <w:kern w:val="0"/>
                <w:sz w:val="22"/>
                <w:szCs w:val="22"/>
                <w:u w:val="none"/>
                <w:lang w:val="es-ES" w:eastAsia="en-US" w:bidi="ar-SA"/>
              </w:rPr>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pPr>
            <w:r>
              <w:rPr>
                <w:b/>
                <w:bCs/>
                <w:i w:val="false"/>
                <w:iCs w:val="false"/>
                <w:strike w:val="false"/>
                <w:dstrike w:val="false"/>
                <w:outline w:val="false"/>
                <w:shadow w:val="false"/>
                <w:color w:val="000000"/>
                <w:sz w:val="22"/>
                <w:szCs w:val="22"/>
                <w:u w:val="none"/>
              </w:rPr>
              <w:t>Pruebas escritas.</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Prácticas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Bloque 1:</w:t>
            </w:r>
          </w:p>
          <w:p>
            <w:pPr>
              <w:pStyle w:val="Estiloparrafos"/>
              <w:bidi w:val="0"/>
              <w:spacing w:before="360" w:after="120"/>
              <w:ind w:left="397" w:right="0" w:hanging="0"/>
              <w:jc w:val="both"/>
              <w:rPr/>
            </w:pPr>
            <w:r>
              <w:rPr>
                <w:rFonts w:ascii="Calibri" w:hAnsi="Calibri"/>
                <w:b/>
                <w:bCs/>
                <w:i w:val="false"/>
                <w:iCs w:val="false"/>
                <w:strike w:val="false"/>
                <w:dstrike w:val="false"/>
                <w:outline w:val="false"/>
                <w:shadow w:val="false"/>
                <w:color w:val="000000"/>
                <w:sz w:val="22"/>
                <w:szCs w:val="22"/>
                <w:u w:val="none"/>
              </w:rPr>
              <w:t xml:space="preserve"> </w:t>
            </w:r>
            <w:r>
              <w:rPr>
                <w:rFonts w:ascii="Calibri" w:hAnsi="Calibri"/>
                <w:b/>
                <w:bCs/>
                <w:i w:val="false"/>
                <w:iCs w:val="false"/>
                <w:strike w:val="false"/>
                <w:dstrike w:val="false"/>
                <w:outline w:val="false"/>
                <w:shadow w:val="false"/>
                <w:color w:val="000000"/>
                <w:sz w:val="22"/>
                <w:szCs w:val="22"/>
                <w:u w:val="none"/>
              </w:rPr>
              <w:t>LA ESTRUCTURA DE LA MATERIA</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pPr>
            <w:r>
              <w:rPr>
                <w:rFonts w:ascii="Calibri" w:hAnsi="Calibri"/>
                <w:sz w:val="22"/>
                <w:szCs w:val="22"/>
                <w:lang w:val="es-ES"/>
              </w:rPr>
              <w:t>E</w:t>
            </w:r>
            <w:r>
              <w:rPr>
                <w:rFonts w:eastAsia="Verdana" w:cs="Verdana" w:ascii="Calibri" w:hAnsi="Calibri"/>
                <w:sz w:val="22"/>
                <w:szCs w:val="22"/>
                <w:lang w:val="es-ES"/>
              </w:rPr>
              <w:t>l átomo: conceptos fundamentales, formación de iones.</w:t>
            </w:r>
          </w:p>
          <w:p>
            <w:pPr>
              <w:pStyle w:val="Estiloparrafos"/>
              <w:numPr>
                <w:ilvl w:val="0"/>
                <w:numId w:val="2"/>
              </w:numPr>
              <w:bidi w:val="0"/>
              <w:spacing w:before="0" w:after="60"/>
              <w:ind w:left="284" w:right="0" w:hanging="142"/>
              <w:rPr/>
            </w:pPr>
            <w:r>
              <w:rPr>
                <w:rFonts w:ascii="Calibri" w:hAnsi="Calibri"/>
                <w:sz w:val="22"/>
                <w:szCs w:val="22"/>
                <w:lang w:val="es-ES"/>
              </w:rPr>
              <w:t xml:space="preserve">Modelos atómicos: primeros modelos atómicos, inconvenientes del modelo de Rutherford, Modelo de Bohr, modelo mecanocuántico del átomo, números cuánticos y orbitales atómicos. </w:t>
            </w:r>
          </w:p>
          <w:p>
            <w:pPr>
              <w:pStyle w:val="Estiloparrafos"/>
              <w:numPr>
                <w:ilvl w:val="0"/>
                <w:numId w:val="2"/>
              </w:numPr>
              <w:bidi w:val="0"/>
              <w:spacing w:before="0" w:after="60"/>
              <w:ind w:left="284" w:right="0" w:hanging="142"/>
              <w:rPr/>
            </w:pPr>
            <w:r>
              <w:rPr>
                <w:rFonts w:ascii="Calibri" w:hAnsi="Calibri"/>
                <w:sz w:val="22"/>
                <w:szCs w:val="22"/>
                <w:lang w:val="es-ES"/>
              </w:rPr>
              <w:t>Configuración electrónica: tabla periódica, configuración de iones, estado fundamental y estado excitado.</w:t>
            </w:r>
          </w:p>
          <w:p>
            <w:pPr>
              <w:pStyle w:val="Estiloparrafos"/>
              <w:numPr>
                <w:ilvl w:val="0"/>
                <w:numId w:val="2"/>
              </w:numPr>
              <w:bidi w:val="0"/>
              <w:spacing w:before="0" w:after="60"/>
              <w:ind w:left="284" w:right="0" w:hanging="142"/>
              <w:rPr/>
            </w:pPr>
            <w:r>
              <w:rPr>
                <w:rFonts w:ascii="Calibri" w:hAnsi="Calibri"/>
                <w:sz w:val="22"/>
                <w:szCs w:val="22"/>
                <w:lang w:val="es-ES"/>
              </w:rPr>
              <w:t>Historia de clasificación periódica de los elementos químicos.</w:t>
            </w:r>
          </w:p>
          <w:p>
            <w:pPr>
              <w:pStyle w:val="Estiloparrafos"/>
              <w:numPr>
                <w:ilvl w:val="0"/>
                <w:numId w:val="2"/>
              </w:numPr>
              <w:bidi w:val="0"/>
              <w:spacing w:before="0" w:after="60"/>
              <w:ind w:left="284" w:right="0" w:hanging="142"/>
              <w:rPr/>
            </w:pPr>
            <w:r>
              <w:rPr>
                <w:rFonts w:ascii="Calibri" w:hAnsi="Calibri"/>
                <w:sz w:val="22"/>
                <w:szCs w:val="22"/>
              </w:rPr>
              <w:t xml:space="preserve">Propiedades periódicas: radio atómico, energía de ionización, afinidad electrónica, electronegatividad, carácter metálico. </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Refuerzo</w:t>
            </w:r>
          </w:p>
        </w:tc>
        <w:tc>
          <w:tcPr>
            <w:tcW w:w="7715" w:type="dxa"/>
            <w:gridSpan w:val="5"/>
            <w:tcBorders>
              <w:left w:val="single" w:sz="4" w:space="0" w:color="000000"/>
              <w:bottom w:val="single" w:sz="4" w:space="0" w:color="000000"/>
              <w:right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Evaluación inicial, ejercicios de reflexión, problemas prácticos, práctica de laboratorio.</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eastAsia="Calibri"/>
          <w:b/>
          <w:b/>
          <w:kern w:val="0"/>
          <w:sz w:val="22"/>
          <w:szCs w:val="22"/>
          <w:u w:val="none"/>
          <w:lang w:val="es-ES" w:eastAsia="en-US" w:bidi="ar-SA"/>
        </w:rPr>
      </w:pPr>
      <w:r>
        <w:rPr>
          <w:rFonts w:eastAsia="Calibri" w:ascii="Calibri" w:hAnsi="Calibri"/>
          <w:b/>
          <w:kern w:val="0"/>
          <w:sz w:val="22"/>
          <w:szCs w:val="22"/>
          <w:u w:val="none"/>
          <w:lang w:val="es-ES" w:eastAsia="en-US" w:bidi="ar-SA"/>
        </w:rPr>
      </w:r>
    </w:p>
    <w:tbl>
      <w:tblPr>
        <w:tblW w:w="9645" w:type="dxa"/>
        <w:jc w:val="left"/>
        <w:tblInd w:w="0" w:type="dxa"/>
        <w:tblCellMar>
          <w:top w:w="55" w:type="dxa"/>
          <w:left w:w="55" w:type="dxa"/>
          <w:bottom w:w="55" w:type="dxa"/>
          <w:right w:w="55" w:type="dxa"/>
        </w:tblCellMar>
      </w:tblPr>
      <w:tblGrid>
        <w:gridCol w:w="1929"/>
        <w:gridCol w:w="1409"/>
        <w:gridCol w:w="3"/>
        <w:gridCol w:w="3122"/>
        <w:gridCol w:w="759"/>
        <w:gridCol w:w="2422"/>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 xml:space="preserve">TÍTULO: Enlace químico </w:t>
            </w:r>
          </w:p>
        </w:tc>
      </w:tr>
      <w:tr>
        <w:trPr/>
        <w:tc>
          <w:tcPr>
            <w:tcW w:w="192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Trimestre: 1</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Temporalización: Octubre</w:t>
            </w:r>
          </w:p>
        </w:tc>
        <w:tc>
          <w:tcPr>
            <w:tcW w:w="2422"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Sesiones: 6</w:t>
            </w:r>
          </w:p>
        </w:tc>
      </w:tr>
      <w:tr>
        <w:trPr>
          <w:trHeight w:val="684"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Competencias específicas</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jc w:val="left"/>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Contenidodelatabla"/>
              <w:jc w:val="center"/>
              <w:rPr/>
            </w:pPr>
            <w:r>
              <w:rPr>
                <w:rFonts w:eastAsia="Calibri"/>
                <w:b/>
                <w:bCs/>
                <w:i w:val="false"/>
                <w:iCs w:val="false"/>
                <w:strike w:val="false"/>
                <w:dstrike w:val="false"/>
                <w:outline w:val="false"/>
                <w:shadow w:val="false"/>
                <w:color w:val="000000"/>
                <w:kern w:val="0"/>
                <w:sz w:val="22"/>
                <w:szCs w:val="22"/>
                <w:u w:val="none"/>
                <w:lang w:val="es-ES" w:eastAsia="en-US" w:bidi="ar-SA"/>
              </w:rPr>
              <w:t xml:space="preserve">CE.FQ.4 </w:t>
            </w:r>
          </w:p>
          <w:p>
            <w:pPr>
              <w:pStyle w:val="Contenidodelatabla"/>
              <w:jc w:val="center"/>
              <w:rPr>
                <w:rFonts w:ascii="Calibri" w:hAnsi="Calibri" w:eastAsia="Calibri"/>
                <w:b/>
                <w:b/>
                <w:bCs/>
                <w:i w:val="false"/>
                <w:i w:val="false"/>
                <w:iCs w:val="false"/>
                <w:strike w:val="false"/>
                <w:dstrike w:val="false"/>
                <w:outline w:val="false"/>
                <w:shadow w:val="false"/>
                <w:color w:val="000000"/>
                <w:kern w:val="0"/>
                <w:sz w:val="22"/>
                <w:szCs w:val="22"/>
                <w:u w:val="none"/>
                <w:lang w:val="es-ES" w:eastAsia="en-US" w:bidi="ar-SA"/>
              </w:rPr>
            </w:pPr>
            <w:r>
              <w:rPr>
                <w:rFonts w:eastAsia="Calibri"/>
                <w:b/>
                <w:bCs/>
                <w:i w:val="false"/>
                <w:iCs w:val="false"/>
                <w:strike w:val="false"/>
                <w:dstrike w:val="false"/>
                <w:outline w:val="false"/>
                <w:shadow w:val="false"/>
                <w:color w:val="000000"/>
                <w:kern w:val="0"/>
                <w:sz w:val="22"/>
                <w:szCs w:val="22"/>
                <w:u w:val="none"/>
                <w:lang w:val="es-ES" w:eastAsia="en-US" w:bidi="ar-SA"/>
              </w:rPr>
            </w:r>
          </w:p>
          <w:p>
            <w:pPr>
              <w:pStyle w:val="Contenidodelatabla"/>
              <w:spacing w:before="0" w:after="200"/>
              <w:jc w:val="center"/>
              <w:rPr/>
            </w:pPr>
            <w:r>
              <w:rPr>
                <w:rFonts w:eastAsia="Calibri"/>
                <w:b/>
                <w:bCs/>
                <w:i w:val="false"/>
                <w:iCs w:val="false"/>
                <w:strike w:val="false"/>
                <w:dstrike w:val="false"/>
                <w:outline w:val="false"/>
                <w:shadow w:val="false"/>
                <w:color w:val="000000"/>
                <w:kern w:val="0"/>
                <w:sz w:val="22"/>
                <w:szCs w:val="22"/>
                <w:u w:val="none"/>
                <w:lang w:val="es-ES" w:eastAsia="en-US" w:bidi="ar-SA"/>
              </w:rPr>
              <w:t>CE.FQ.5</w:t>
            </w:r>
          </w:p>
        </w:tc>
        <w:tc>
          <w:tcPr>
            <w:tcW w:w="3122" w:type="dxa"/>
            <w:tcBorders>
              <w:left w:val="single" w:sz="4" w:space="0" w:color="000000"/>
              <w:bottom w:val="single" w:sz="4" w:space="0" w:color="000000"/>
            </w:tcBorders>
            <w:shd w:fill="auto" w:val="clear"/>
          </w:tcPr>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pPr>
            <w:r>
              <w:rPr>
                <w:b/>
                <w:bCs/>
                <w:i w:val="false"/>
                <w:iCs w:val="false"/>
                <w:strike w:val="false"/>
                <w:dstrike w:val="false"/>
                <w:outline w:val="false"/>
                <w:shadow w:val="false"/>
                <w:color w:val="000000"/>
                <w:sz w:val="22"/>
                <w:szCs w:val="22"/>
                <w:u w:val="none"/>
              </w:rPr>
              <w:t>Pruebas escritas.</w:t>
            </w:r>
          </w:p>
          <w:p>
            <w:pPr>
              <w:pStyle w:val="Contenidodelatabla"/>
              <w:jc w:val="center"/>
              <w:rPr/>
            </w:pPr>
            <w:r>
              <w:rPr>
                <w:b/>
                <w:bCs/>
                <w:i w:val="false"/>
                <w:iCs w:val="false"/>
                <w:strike w:val="false"/>
                <w:dstrike w:val="false"/>
                <w:outline w:val="false"/>
                <w:shadow w:val="false"/>
                <w:color w:val="000000"/>
                <w:sz w:val="22"/>
                <w:szCs w:val="22"/>
                <w:u w:val="none"/>
              </w:rPr>
              <w:t>Simluación en laboratorio virtual.</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Modelos moleculares.</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Bloque 1</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pPr>
            <w:r>
              <w:rPr>
                <w:rFonts w:eastAsia="Verdana" w:cs="Verdana" w:ascii="Calibri" w:hAnsi="Calibri"/>
                <w:sz w:val="22"/>
                <w:szCs w:val="22"/>
                <w:lang w:val="es-ES"/>
              </w:rPr>
              <w:t>Fuerzas intramoleculares: enlace iónico, enlace covalente, diagramas de Lewis, enlace metálico.</w:t>
            </w:r>
          </w:p>
          <w:p>
            <w:pPr>
              <w:pStyle w:val="Estiloparrafos"/>
              <w:numPr>
                <w:ilvl w:val="0"/>
                <w:numId w:val="2"/>
              </w:numPr>
              <w:bidi w:val="0"/>
              <w:spacing w:before="0" w:after="60"/>
              <w:ind w:left="284" w:right="0" w:hanging="142"/>
              <w:jc w:val="left"/>
              <w:rPr/>
            </w:pPr>
            <w:r>
              <w:rPr>
                <w:rFonts w:eastAsia="Verdana" w:cs="Verdana" w:ascii="Calibri" w:hAnsi="Calibri"/>
                <w:b w:val="false"/>
                <w:bCs w:val="false"/>
                <w:i w:val="false"/>
                <w:iCs w:val="false"/>
                <w:strike w:val="false"/>
                <w:dstrike w:val="false"/>
                <w:outline w:val="false"/>
                <w:shadow w:val="false"/>
                <w:color w:val="000000"/>
                <w:sz w:val="22"/>
                <w:szCs w:val="22"/>
                <w:u w:val="none"/>
                <w:lang w:val="es-ES"/>
              </w:rPr>
              <w:t>Fuerzas intermoleculares: enlace por puente de hidrógeno, fuerzas de Van der Waals.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Refuerzo</w:t>
            </w:r>
          </w:p>
        </w:tc>
        <w:tc>
          <w:tcPr>
            <w:tcW w:w="7715" w:type="dxa"/>
            <w:gridSpan w:val="5"/>
            <w:tcBorders>
              <w:left w:val="single" w:sz="4" w:space="0" w:color="000000"/>
              <w:bottom w:val="single" w:sz="4" w:space="0" w:color="000000"/>
              <w:right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Ejercicios de reflexión, problemas teórico-prácticos.</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eastAsia="Calibri" w:cs="Verdana"/>
          <w:b/>
          <w:b/>
          <w:color w:val="C9211E"/>
          <w:kern w:val="0"/>
          <w:sz w:val="22"/>
          <w:szCs w:val="22"/>
          <w:u w:val="none"/>
          <w:lang w:val="es-ES" w:eastAsia="en-US" w:bidi="ar-SA"/>
        </w:rPr>
      </w:pPr>
      <w:r>
        <w:rPr>
          <w:rFonts w:eastAsia="Calibri" w:cs="Verdana" w:ascii="Calibri" w:hAnsi="Calibri"/>
          <w:b/>
          <w:color w:val="C9211E"/>
          <w:kern w:val="0"/>
          <w:sz w:val="22"/>
          <w:szCs w:val="22"/>
          <w:u w:val="none"/>
          <w:lang w:val="es-ES" w:eastAsia="en-US" w:bidi="ar-SA"/>
        </w:rPr>
      </w:r>
    </w:p>
    <w:p>
      <w:pPr>
        <w:pStyle w:val="Estiloparrafos"/>
        <w:bidi w:val="0"/>
        <w:spacing w:before="0" w:after="60"/>
        <w:ind w:left="284" w:right="0" w:hanging="142"/>
        <w:rPr>
          <w:rFonts w:ascii="Calibri" w:hAnsi="Calibri" w:eastAsia="Verdana" w:cs="Verdana"/>
          <w:b/>
          <w:b/>
          <w:sz w:val="22"/>
          <w:szCs w:val="22"/>
          <w:u w:val="none"/>
          <w:lang w:val="es-ES"/>
        </w:rPr>
      </w:pPr>
      <w:r>
        <w:rPr>
          <w:rFonts w:eastAsia="Verdana" w:cs="Verdana" w:ascii="Calibri" w:hAnsi="Calibri"/>
          <w:b/>
          <w:sz w:val="22"/>
          <w:szCs w:val="22"/>
          <w:u w:val="none"/>
          <w:lang w:val="es-ES"/>
        </w:rPr>
      </w:r>
    </w:p>
    <w:tbl>
      <w:tblPr>
        <w:tblW w:w="9645" w:type="dxa"/>
        <w:jc w:val="left"/>
        <w:tblInd w:w="0" w:type="dxa"/>
        <w:tblCellMar>
          <w:top w:w="55" w:type="dxa"/>
          <w:left w:w="55" w:type="dxa"/>
          <w:bottom w:w="55" w:type="dxa"/>
          <w:right w:w="55" w:type="dxa"/>
        </w:tblCellMar>
      </w:tblPr>
      <w:tblGrid>
        <w:gridCol w:w="1929"/>
        <w:gridCol w:w="1409"/>
        <w:gridCol w:w="3"/>
        <w:gridCol w:w="3122"/>
        <w:gridCol w:w="759"/>
        <w:gridCol w:w="2422"/>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TÍTULO:  Formulación y nomenclatura inorgánica</w:t>
            </w:r>
          </w:p>
        </w:tc>
      </w:tr>
      <w:tr>
        <w:trPr/>
        <w:tc>
          <w:tcPr>
            <w:tcW w:w="192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Trimestre: 1º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Temporalización: Octubre - noviembre</w:t>
            </w:r>
          </w:p>
        </w:tc>
        <w:tc>
          <w:tcPr>
            <w:tcW w:w="2422"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Sesiones: 6</w:t>
            </w:r>
          </w:p>
        </w:tc>
      </w:tr>
      <w:tr>
        <w:trPr>
          <w:trHeight w:val="684"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Competencias específicas</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pPr>
            <w:r>
              <w:rPr>
                <w:rFonts w:ascii="Calibri" w:hAnsi="Calibri"/>
                <w:b/>
                <w:sz w:val="22"/>
                <w:szCs w:val="22"/>
                <w:u w:val="none"/>
              </w:rPr>
              <w:t>CE.FQ.3</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CE.FQ.3</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3.2. Nombrar y formular correctamente sustancias simples, iones y compuestos químicos inorgánicos y orgánicos utilizando las normas de la IUPAC, como parte de un lenguaje integrador y universal para toda la comunidad científica.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Pruebas escritas.</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Bloque 1:</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LA ESTRUCTURA DE LA MATERIA</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jc w:val="left"/>
              <w:rPr/>
            </w:pPr>
            <w:r>
              <w:rPr>
                <w:rFonts w:eastAsia="Verdana" w:cs="Verdana" w:ascii="Calibri" w:hAnsi="Calibri"/>
                <w:b w:val="false"/>
                <w:bCs w:val="false"/>
                <w:i w:val="false"/>
                <w:iCs w:val="false"/>
                <w:strike w:val="false"/>
                <w:dstrike w:val="false"/>
                <w:outline w:val="false"/>
                <w:shadow w:val="false"/>
                <w:color w:val="000000"/>
                <w:sz w:val="22"/>
                <w:szCs w:val="22"/>
                <w:u w:val="none"/>
                <w:lang w:val="es-ES"/>
              </w:rPr>
              <w:t xml:space="preserve">Formulación y nomenclatura de compuestos binarios y ternarios. </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Refuerzo</w:t>
            </w:r>
          </w:p>
        </w:tc>
        <w:tc>
          <w:tcPr>
            <w:tcW w:w="7715" w:type="dxa"/>
            <w:gridSpan w:val="5"/>
            <w:tcBorders>
              <w:left w:val="single" w:sz="4" w:space="0" w:color="000000"/>
              <w:bottom w:val="single" w:sz="4" w:space="0" w:color="000000"/>
              <w:right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Ejercicios prácticos.</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360" w:after="120"/>
        <w:ind w:left="0" w:right="0" w:hanging="0"/>
        <w:rPr>
          <w:rFonts w:ascii="Calibri" w:hAnsi="Calibri"/>
          <w:b/>
          <w:b/>
          <w:sz w:val="22"/>
          <w:szCs w:val="22"/>
        </w:rPr>
      </w:pPr>
      <w:r>
        <w:rPr>
          <w:rFonts w:ascii="Calibri" w:hAnsi="Calibri"/>
          <w:b/>
          <w:sz w:val="22"/>
          <w:szCs w:val="22"/>
        </w:rPr>
      </w:r>
    </w:p>
    <w:tbl>
      <w:tblPr>
        <w:tblW w:w="9645" w:type="dxa"/>
        <w:jc w:val="left"/>
        <w:tblInd w:w="0" w:type="dxa"/>
        <w:tblCellMar>
          <w:top w:w="55" w:type="dxa"/>
          <w:left w:w="55" w:type="dxa"/>
          <w:bottom w:w="55" w:type="dxa"/>
          <w:right w:w="55" w:type="dxa"/>
        </w:tblCellMar>
      </w:tblPr>
      <w:tblGrid>
        <w:gridCol w:w="1929"/>
        <w:gridCol w:w="1409"/>
        <w:gridCol w:w="3"/>
        <w:gridCol w:w="3122"/>
        <w:gridCol w:w="759"/>
        <w:gridCol w:w="2422"/>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TÍTULO:  Las sustancias y su identificación</w:t>
            </w:r>
          </w:p>
        </w:tc>
      </w:tr>
      <w:tr>
        <w:trPr/>
        <w:tc>
          <w:tcPr>
            <w:tcW w:w="192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Trimestre: 1º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Temporalización: Noviembre diciembre</w:t>
            </w:r>
          </w:p>
        </w:tc>
        <w:tc>
          <w:tcPr>
            <w:tcW w:w="2422"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Sesiones: 10</w:t>
            </w:r>
          </w:p>
        </w:tc>
      </w:tr>
      <w:tr>
        <w:trPr>
          <w:trHeight w:val="684"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Competencias específicas</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pPr>
            <w:r>
              <w:rPr>
                <w:rFonts w:ascii="Calibri" w:hAnsi="Calibri"/>
                <w:b/>
                <w:sz w:val="22"/>
                <w:szCs w:val="22"/>
                <w:u w:val="none"/>
              </w:rPr>
              <w:t xml:space="preserve">CE.FQ.1,  CE.FQ.2, CE.FQ.3, </w:t>
            </w:r>
            <w:r>
              <w:rPr>
                <w:rFonts w:eastAsia="Calibri" w:ascii="Calibri" w:hAnsi="Calibri"/>
                <w:b/>
                <w:kern w:val="0"/>
                <w:sz w:val="22"/>
                <w:szCs w:val="22"/>
                <w:u w:val="none"/>
                <w:lang w:val="es-ES" w:eastAsia="en-US" w:bidi="ar-SA"/>
              </w:rPr>
              <w:t>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CE.FQ.1</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r>
          </w:p>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CE.FQ.3</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CE.FQ.4</w:t>
            </w:r>
          </w:p>
          <w:p>
            <w:pPr>
              <w:pStyle w:val="Normal"/>
              <w:widowControl/>
              <w:spacing w:lineRule="auto" w:line="240" w:before="0" w:after="0"/>
              <w:jc w:val="left"/>
              <w:rPr>
                <w:rFonts w:ascii="Calibri" w:hAnsi="Calibri" w:eastAsia="Calibri"/>
                <w:b/>
                <w:b/>
                <w:bCs/>
                <w:i w:val="false"/>
                <w:i w:val="false"/>
                <w:iCs w:val="false"/>
                <w:strike w:val="false"/>
                <w:dstrike w:val="false"/>
                <w:outline w:val="false"/>
                <w:shadow w:val="false"/>
                <w:color w:val="000000"/>
                <w:kern w:val="0"/>
                <w:sz w:val="22"/>
                <w:szCs w:val="22"/>
                <w:u w:val="none"/>
                <w:lang w:val="es-ES" w:eastAsia="en-US" w:bidi="ar-SA"/>
              </w:rPr>
            </w:pPr>
            <w:r>
              <w:rPr>
                <w:rFonts w:eastAsia="Calibri"/>
                <w:b/>
                <w:bCs/>
                <w:i w:val="false"/>
                <w:iCs w:val="false"/>
                <w:strike w:val="false"/>
                <w:dstrike w:val="false"/>
                <w:outline w:val="false"/>
                <w:shadow w:val="false"/>
                <w:color w:val="000000"/>
                <w:kern w:val="0"/>
                <w:sz w:val="22"/>
                <w:szCs w:val="22"/>
                <w:u w:val="none"/>
                <w:lang w:val="es-ES" w:eastAsia="en-US" w:bidi="ar-SA"/>
              </w:rPr>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1.2. Resolver problemas fisicoquímicos planteados a partir de situaciones cotidianas, aplicando las leyes y teorías científicas para encontrar y argumentar las soluciones, expresando adecuadamente los resultados.</w:t>
            </w:r>
          </w:p>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1.3. Identificar situaciones problemáticas en el entorno cotidiano, emprender iniciativas y buscar soluciones sostenibles desde la Física y la Química, analizando críticamente el impacto producido en la sociedad y el medioambiente.</w:t>
            </w:r>
          </w:p>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3.4. Poner en práctica los conocimientos adquiridos en la experimentación científica en laboratorio o campo, incluyendo el conocimiento de sus materiales y su normativa básica de uso, así como de las normas de seguridad propias de estos espacios, y comprendiendo la importancia en el progreso científico y emprendedor de que la experimentación sea segura, sin comprometer la integridad Física propia y colectiva.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pPr>
            <w:r>
              <w:rPr>
                <w:b/>
                <w:bCs/>
                <w:i w:val="false"/>
                <w:iCs w:val="false"/>
                <w:strike w:val="false"/>
                <w:dstrike w:val="false"/>
                <w:outline w:val="false"/>
                <w:shadow w:val="false"/>
                <w:color w:val="000000"/>
                <w:sz w:val="22"/>
                <w:szCs w:val="22"/>
                <w:u w:val="none"/>
              </w:rPr>
              <w:t>Pruebas escritas.</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Bloque 2:</w:t>
            </w:r>
          </w:p>
          <w:p>
            <w:pPr>
              <w:pStyle w:val="Estiloparrafos"/>
              <w:bidi w:val="0"/>
              <w:spacing w:before="360" w:after="120"/>
              <w:ind w:left="510" w:right="0" w:hanging="0"/>
              <w:jc w:val="center"/>
              <w:rPr/>
            </w:pPr>
            <w:r>
              <w:rPr>
                <w:rFonts w:ascii="Calibri" w:hAnsi="Calibri"/>
                <w:b/>
                <w:bCs/>
                <w:i w:val="false"/>
                <w:iCs w:val="false"/>
                <w:strike w:val="false"/>
                <w:dstrike w:val="false"/>
                <w:outline w:val="false"/>
                <w:shadow w:val="false"/>
                <w:color w:val="000000"/>
                <w:sz w:val="22"/>
                <w:szCs w:val="22"/>
                <w:u w:val="none"/>
              </w:rPr>
              <w:t>ASPECTOS CUANTITATIVOS DE LA QUÍMICA</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pPr>
            <w:r>
              <w:rPr>
                <w:rFonts w:ascii="Calibri" w:hAnsi="Calibri"/>
                <w:sz w:val="22"/>
                <w:szCs w:val="22"/>
                <w:lang w:val="es-ES"/>
              </w:rPr>
              <w:t>Leyes fundamentales de a química (Ley de Lavoisier, Ley de Proust, Ley de Dalton).</w:t>
            </w:r>
          </w:p>
          <w:p>
            <w:pPr>
              <w:pStyle w:val="Estiloparrafos"/>
              <w:numPr>
                <w:ilvl w:val="0"/>
                <w:numId w:val="2"/>
              </w:numPr>
              <w:bidi w:val="0"/>
              <w:spacing w:before="0" w:after="60"/>
              <w:ind w:left="284" w:right="0" w:hanging="142"/>
              <w:rPr/>
            </w:pPr>
            <w:r>
              <w:rPr>
                <w:rFonts w:ascii="Calibri" w:hAnsi="Calibri"/>
                <w:sz w:val="22"/>
                <w:szCs w:val="22"/>
                <w:lang w:val="es-ES"/>
              </w:rPr>
              <w:t>Teoría atómica de Dalton.</w:t>
            </w:r>
          </w:p>
          <w:p>
            <w:pPr>
              <w:pStyle w:val="Estiloparrafos"/>
              <w:numPr>
                <w:ilvl w:val="0"/>
                <w:numId w:val="2"/>
              </w:numPr>
              <w:bidi w:val="0"/>
              <w:spacing w:before="0" w:after="60"/>
              <w:ind w:left="284" w:right="0" w:hanging="142"/>
              <w:rPr/>
            </w:pPr>
            <w:r>
              <w:rPr>
                <w:rFonts w:ascii="Calibri" w:hAnsi="Calibri"/>
                <w:sz w:val="22"/>
                <w:szCs w:val="22"/>
                <w:lang w:val="es-ES"/>
              </w:rPr>
              <w:t>Leyes de los volúmenes de combinación o Ley de Gay- Lussac.</w:t>
            </w:r>
          </w:p>
          <w:p>
            <w:pPr>
              <w:pStyle w:val="Estiloparrafos"/>
              <w:numPr>
                <w:ilvl w:val="0"/>
                <w:numId w:val="2"/>
              </w:numPr>
              <w:bidi w:val="0"/>
              <w:spacing w:before="0" w:after="60"/>
              <w:ind w:left="284" w:right="0" w:hanging="142"/>
              <w:rPr/>
            </w:pPr>
            <w:r>
              <w:rPr>
                <w:rFonts w:ascii="Calibri" w:hAnsi="Calibri"/>
                <w:sz w:val="22"/>
                <w:szCs w:val="22"/>
                <w:lang w:val="es-ES"/>
              </w:rPr>
              <w:t>Hipótesis de Avogadro.</w:t>
            </w:r>
          </w:p>
          <w:p>
            <w:pPr>
              <w:pStyle w:val="Estiloparrafos"/>
              <w:numPr>
                <w:ilvl w:val="0"/>
                <w:numId w:val="2"/>
              </w:numPr>
              <w:bidi w:val="0"/>
              <w:spacing w:before="0" w:after="60"/>
              <w:ind w:left="284" w:right="0" w:hanging="142"/>
              <w:rPr/>
            </w:pPr>
            <w:r>
              <w:rPr>
                <w:rFonts w:ascii="Calibri" w:hAnsi="Calibri"/>
                <w:sz w:val="22"/>
                <w:szCs w:val="22"/>
                <w:lang w:val="es-ES"/>
              </w:rPr>
              <w:t>Teoría atómica molecular.</w:t>
            </w:r>
          </w:p>
          <w:p>
            <w:pPr>
              <w:pStyle w:val="Estiloparrafos"/>
              <w:numPr>
                <w:ilvl w:val="0"/>
                <w:numId w:val="2"/>
              </w:numPr>
              <w:bidi w:val="0"/>
              <w:spacing w:before="0" w:after="60"/>
              <w:ind w:left="284" w:right="0" w:hanging="142"/>
              <w:rPr/>
            </w:pPr>
            <w:r>
              <w:rPr>
                <w:rFonts w:ascii="Calibri" w:hAnsi="Calibri"/>
                <w:sz w:val="22"/>
                <w:szCs w:val="22"/>
                <w:lang w:val="es-ES"/>
              </w:rPr>
              <w:t>El mol como unidad de medida.</w:t>
            </w:r>
          </w:p>
          <w:p>
            <w:pPr>
              <w:pStyle w:val="Estiloparrafos"/>
              <w:numPr>
                <w:ilvl w:val="0"/>
                <w:numId w:val="2"/>
              </w:numPr>
              <w:bidi w:val="0"/>
              <w:spacing w:before="0" w:after="60"/>
              <w:ind w:left="284" w:right="0" w:hanging="142"/>
              <w:jc w:val="left"/>
              <w:rPr/>
            </w:pPr>
            <w:r>
              <w:rPr>
                <w:rFonts w:ascii="Calibri" w:hAnsi="Calibri"/>
                <w:b w:val="false"/>
                <w:bCs w:val="false"/>
                <w:i w:val="false"/>
                <w:iCs w:val="false"/>
                <w:strike w:val="false"/>
                <w:dstrike w:val="false"/>
                <w:outline w:val="false"/>
                <w:shadow w:val="false"/>
                <w:color w:val="000000"/>
                <w:sz w:val="22"/>
                <w:szCs w:val="22"/>
                <w:u w:val="none"/>
                <w:lang w:val="es-ES"/>
              </w:rPr>
              <w:t>Fórmula empírica y fórmula molecular. Obtención a partir de la composición centesimal de las sustancias.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Refuerzo</w:t>
            </w:r>
          </w:p>
        </w:tc>
        <w:tc>
          <w:tcPr>
            <w:tcW w:w="7715" w:type="dxa"/>
            <w:gridSpan w:val="5"/>
            <w:tcBorders>
              <w:left w:val="single" w:sz="4" w:space="0" w:color="000000"/>
              <w:bottom w:val="single" w:sz="4" w:space="0" w:color="000000"/>
              <w:right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Ejercicios de reflexión, problemas prácticos, práctica de laboratorio.</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eastAsia="Calibri"/>
          <w:b/>
          <w:b/>
          <w:color w:val="C9211E"/>
          <w:kern w:val="0"/>
          <w:sz w:val="22"/>
          <w:szCs w:val="22"/>
          <w:u w:val="none"/>
          <w:lang w:val="es-ES" w:eastAsia="en-US" w:bidi="ar-SA"/>
        </w:rPr>
      </w:pPr>
      <w:r>
        <w:rPr>
          <w:rFonts w:eastAsia="Calibri" w:ascii="Calibri" w:hAnsi="Calibri"/>
          <w:b/>
          <w:color w:val="C9211E"/>
          <w:kern w:val="0"/>
          <w:sz w:val="22"/>
          <w:szCs w:val="22"/>
          <w:u w:val="none"/>
          <w:lang w:val="es-ES" w:eastAsia="en-US" w:bidi="ar-SA"/>
        </w:rPr>
      </w:r>
    </w:p>
    <w:p>
      <w:pPr>
        <w:pStyle w:val="Estiloparrafos"/>
        <w:numPr>
          <w:ilvl w:val="0"/>
          <w:numId w:val="0"/>
        </w:numPr>
        <w:bidi w:val="0"/>
        <w:spacing w:before="0" w:after="60"/>
        <w:ind w:left="720" w:right="0" w:hanging="0"/>
        <w:rPr>
          <w:rFonts w:ascii="Calibri" w:hAnsi="Calibri" w:eastAsia="Calibri"/>
          <w:b/>
          <w:b/>
          <w:color w:val="C9211E"/>
          <w:kern w:val="0"/>
          <w:sz w:val="22"/>
          <w:szCs w:val="22"/>
          <w:u w:val="none"/>
          <w:lang w:val="es-ES" w:eastAsia="en-US" w:bidi="ar-SA"/>
        </w:rPr>
      </w:pPr>
      <w:r>
        <w:rPr>
          <w:rFonts w:eastAsia="Calibri" w:ascii="Calibri" w:hAnsi="Calibri"/>
          <w:b/>
          <w:color w:val="C9211E"/>
          <w:kern w:val="0"/>
          <w:sz w:val="22"/>
          <w:szCs w:val="22"/>
          <w:u w:val="none"/>
          <w:lang w:val="es-ES" w:eastAsia="en-US" w:bidi="ar-SA"/>
        </w:rPr>
      </w:r>
    </w:p>
    <w:tbl>
      <w:tblPr>
        <w:tblW w:w="9645" w:type="dxa"/>
        <w:jc w:val="left"/>
        <w:tblInd w:w="0" w:type="dxa"/>
        <w:tblCellMar>
          <w:top w:w="55" w:type="dxa"/>
          <w:left w:w="55" w:type="dxa"/>
          <w:bottom w:w="55" w:type="dxa"/>
          <w:right w:w="55" w:type="dxa"/>
        </w:tblCellMar>
      </w:tblPr>
      <w:tblGrid>
        <w:gridCol w:w="1929"/>
        <w:gridCol w:w="1409"/>
        <w:gridCol w:w="3"/>
        <w:gridCol w:w="3122"/>
        <w:gridCol w:w="759"/>
        <w:gridCol w:w="2422"/>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TÍTULO:  Los gases</w:t>
            </w:r>
          </w:p>
        </w:tc>
      </w:tr>
      <w:tr>
        <w:trPr/>
        <w:tc>
          <w:tcPr>
            <w:tcW w:w="192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Trimestre: 1º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Temporalización: diciembre - enero</w:t>
            </w:r>
          </w:p>
        </w:tc>
        <w:tc>
          <w:tcPr>
            <w:tcW w:w="2422"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Sesiones: 10</w:t>
            </w:r>
          </w:p>
        </w:tc>
      </w:tr>
      <w:tr>
        <w:trPr>
          <w:trHeight w:val="684"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Competencias específicas</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pPr>
            <w:r>
              <w:rPr>
                <w:rFonts w:ascii="Calibri" w:hAnsi="Calibri"/>
                <w:b/>
                <w:sz w:val="22"/>
                <w:szCs w:val="22"/>
                <w:u w:val="none"/>
              </w:rPr>
              <w:t xml:space="preserve">CE.FQ.1, CE.FQ.2, CE.FQ.3, </w:t>
            </w:r>
            <w:r>
              <w:rPr>
                <w:rFonts w:eastAsia="Calibri" w:ascii="Calibri" w:hAnsi="Calibri"/>
                <w:b/>
                <w:kern w:val="0"/>
                <w:sz w:val="22"/>
                <w:szCs w:val="22"/>
                <w:u w:val="none"/>
                <w:lang w:val="es-ES" w:eastAsia="en-US" w:bidi="ar-SA"/>
              </w:rPr>
              <w:t>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CE.FQ.1</w:t>
            </w:r>
          </w:p>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CE.FQ.2</w:t>
            </w:r>
          </w:p>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CE.FQ.3</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CE.FQ.4</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CE.FQ.6</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1.2. Resolver problemas fisicoquímicos planteados a partir de situaciones cotidianas, aplicando las leyes y teorías científicas para encontrar y argumentar las soluciones, expresando adecuadamente los resultados.</w:t>
            </w:r>
          </w:p>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1.3. Identificar situaciones problemáticas en el entorno cotidiano, emprender iniciativas y buscar soluciones sostenibles desde la Física y la Química, analizando críticamente el impacto producido en la sociedad y el medioambiente.</w:t>
            </w:r>
          </w:p>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pPr>
            <w:r>
              <w:rPr>
                <w:b/>
                <w:bCs/>
                <w:i w:val="false"/>
                <w:iCs w:val="false"/>
                <w:strike w:val="false"/>
                <w:dstrike w:val="false"/>
                <w:outline w:val="false"/>
                <w:shadow w:val="false"/>
                <w:color w:val="000000"/>
                <w:sz w:val="22"/>
                <w:szCs w:val="22"/>
                <w:u w:val="none"/>
              </w:rPr>
              <w:t>Pruebas escritas.</w:t>
            </w:r>
          </w:p>
          <w:p>
            <w:pPr>
              <w:pStyle w:val="Contenidodelatabla"/>
              <w:jc w:val="center"/>
              <w:rPr/>
            </w:pPr>
            <w:r>
              <w:rPr>
                <w:b/>
                <w:bCs/>
                <w:i w:val="false"/>
                <w:iCs w:val="false"/>
                <w:strike w:val="false"/>
                <w:dstrike w:val="false"/>
                <w:outline w:val="false"/>
                <w:shadow w:val="false"/>
                <w:color w:val="000000"/>
                <w:sz w:val="22"/>
                <w:szCs w:val="22"/>
                <w:u w:val="none"/>
              </w:rPr>
              <w:t>Simulaciones en laboratorios virtuales.</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Bloque 2:</w:t>
            </w:r>
          </w:p>
          <w:p>
            <w:pPr>
              <w:pStyle w:val="Estiloparrafos"/>
              <w:bidi w:val="0"/>
              <w:spacing w:before="360" w:after="120"/>
              <w:ind w:left="510" w:right="0" w:hanging="0"/>
              <w:jc w:val="center"/>
              <w:rPr/>
            </w:pPr>
            <w:r>
              <w:rPr>
                <w:rFonts w:ascii="Calibri" w:hAnsi="Calibri"/>
                <w:b/>
                <w:bCs/>
                <w:i w:val="false"/>
                <w:iCs w:val="false"/>
                <w:strike w:val="false"/>
                <w:dstrike w:val="false"/>
                <w:outline w:val="false"/>
                <w:shadow w:val="false"/>
                <w:color w:val="000000"/>
                <w:sz w:val="22"/>
                <w:szCs w:val="22"/>
                <w:u w:val="none"/>
              </w:rPr>
              <w:t>ASPECTOS CUANTITATIVOS DE LA QUÍMICA</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pPr>
            <w:r>
              <w:rPr>
                <w:rFonts w:ascii="Calibri" w:hAnsi="Calibri"/>
                <w:sz w:val="22"/>
                <w:szCs w:val="22"/>
                <w:lang w:val="es-ES"/>
              </w:rPr>
              <w:t>Leyes de los gases; ley de Boyle-Mariotte; ley de Gay-Lussac; ley de Charles; ecuación general de los gases ideales.</w:t>
            </w:r>
          </w:p>
          <w:p>
            <w:pPr>
              <w:pStyle w:val="Estiloparrafos"/>
              <w:numPr>
                <w:ilvl w:val="0"/>
                <w:numId w:val="2"/>
              </w:numPr>
              <w:bidi w:val="0"/>
              <w:spacing w:before="0" w:after="60"/>
              <w:ind w:left="284" w:right="0" w:hanging="142"/>
              <w:rPr/>
            </w:pPr>
            <w:r>
              <w:rPr>
                <w:rFonts w:ascii="Calibri" w:hAnsi="Calibri"/>
                <w:sz w:val="22"/>
                <w:szCs w:val="22"/>
                <w:lang w:val="es-ES"/>
              </w:rPr>
              <w:t>Ecuación de estado de los gases ideales;  la densidad de un gas ideal.</w:t>
            </w:r>
          </w:p>
          <w:p>
            <w:pPr>
              <w:pStyle w:val="Estiloparrafos"/>
              <w:numPr>
                <w:ilvl w:val="0"/>
                <w:numId w:val="2"/>
              </w:numPr>
              <w:bidi w:val="0"/>
              <w:spacing w:before="0" w:after="60"/>
              <w:ind w:left="284" w:right="0" w:hanging="142"/>
              <w:jc w:val="left"/>
              <w:rPr/>
            </w:pPr>
            <w:r>
              <w:rPr>
                <w:rFonts w:ascii="Calibri" w:hAnsi="Calibri"/>
                <w:b w:val="false"/>
                <w:bCs w:val="false"/>
                <w:i w:val="false"/>
                <w:iCs w:val="false"/>
                <w:strike w:val="false"/>
                <w:dstrike w:val="false"/>
                <w:outline w:val="false"/>
                <w:shadow w:val="false"/>
                <w:color w:val="000000"/>
                <w:sz w:val="22"/>
                <w:szCs w:val="22"/>
                <w:u w:val="none"/>
                <w:lang w:val="es-ES"/>
              </w:rPr>
              <w:t>Mezcla de gases; ley de Dalton de las presiones parciales; composición en volumen de una mezcla de gases.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Refuerzo</w:t>
            </w:r>
          </w:p>
        </w:tc>
        <w:tc>
          <w:tcPr>
            <w:tcW w:w="7715" w:type="dxa"/>
            <w:gridSpan w:val="5"/>
            <w:tcBorders>
              <w:left w:val="single" w:sz="4" w:space="0" w:color="000000"/>
              <w:bottom w:val="single" w:sz="4" w:space="0" w:color="000000"/>
              <w:right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Ejercicios de reflexión, problemas prácticos, práctica de laboratorio.</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b/>
          <w:b/>
          <w:sz w:val="22"/>
          <w:szCs w:val="22"/>
          <w:u w:val="single"/>
        </w:rPr>
      </w:pPr>
      <w:r>
        <w:rPr>
          <w:rFonts w:ascii="Calibri" w:hAnsi="Calibri"/>
          <w:b/>
          <w:sz w:val="22"/>
          <w:szCs w:val="22"/>
          <w:u w:val="single"/>
        </w:rPr>
      </w:r>
    </w:p>
    <w:tbl>
      <w:tblPr>
        <w:tblW w:w="9645" w:type="dxa"/>
        <w:jc w:val="left"/>
        <w:tblInd w:w="0" w:type="dxa"/>
        <w:tblCellMar>
          <w:top w:w="55" w:type="dxa"/>
          <w:left w:w="55" w:type="dxa"/>
          <w:bottom w:w="55" w:type="dxa"/>
          <w:right w:w="55" w:type="dxa"/>
        </w:tblCellMar>
      </w:tblPr>
      <w:tblGrid>
        <w:gridCol w:w="1929"/>
        <w:gridCol w:w="1409"/>
        <w:gridCol w:w="3"/>
        <w:gridCol w:w="3122"/>
        <w:gridCol w:w="759"/>
        <w:gridCol w:w="2422"/>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TÍTULO: Disoluciones</w:t>
            </w:r>
          </w:p>
        </w:tc>
      </w:tr>
      <w:tr>
        <w:trPr/>
        <w:tc>
          <w:tcPr>
            <w:tcW w:w="192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Trimestre: 1º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Temporalización: enero</w:t>
            </w:r>
          </w:p>
        </w:tc>
        <w:tc>
          <w:tcPr>
            <w:tcW w:w="2422"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Sesiones: 10</w:t>
            </w:r>
          </w:p>
        </w:tc>
      </w:tr>
      <w:tr>
        <w:trPr>
          <w:trHeight w:val="684"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Competencias específicas</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pPr>
            <w:r>
              <w:rPr>
                <w:rFonts w:ascii="Calibri" w:hAnsi="Calibri"/>
                <w:b/>
                <w:sz w:val="22"/>
                <w:szCs w:val="22"/>
                <w:u w:val="none"/>
              </w:rPr>
              <w:t xml:space="preserve">CE.FQ.1,  CE.FQ.2, CE.FQ.3, </w:t>
            </w:r>
            <w:r>
              <w:rPr>
                <w:rFonts w:eastAsia="Calibri" w:ascii="Calibri" w:hAnsi="Calibri"/>
                <w:b/>
                <w:kern w:val="0"/>
                <w:sz w:val="22"/>
                <w:szCs w:val="22"/>
                <w:u w:val="none"/>
                <w:lang w:val="es-ES" w:eastAsia="en-US" w:bidi="ar-SA"/>
              </w:rPr>
              <w:t>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CE.FQ.1</w:t>
            </w:r>
          </w:p>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 xml:space="preserve"> </w:t>
            </w:r>
            <w:r>
              <w:rPr>
                <w:rFonts w:ascii="Calibri" w:hAnsi="Calibri"/>
                <w:b/>
                <w:bCs/>
                <w:i w:val="false"/>
                <w:iCs w:val="false"/>
                <w:strike w:val="false"/>
                <w:dstrike w:val="false"/>
                <w:outline w:val="false"/>
                <w:shadow w:val="false"/>
                <w:color w:val="000000"/>
                <w:sz w:val="22"/>
                <w:szCs w:val="22"/>
                <w:u w:val="none"/>
              </w:rPr>
              <w:t>CE.FQ.2</w:t>
            </w:r>
          </w:p>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 xml:space="preserve">CE.FQ.3  </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CE.FQ.4</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CE.FQ.6</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pPr>
            <w:r>
              <w:rPr>
                <w:rFonts w:eastAsia="Calibri"/>
                <w:kern w:val="0"/>
                <w:sz w:val="22"/>
                <w:szCs w:val="22"/>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p>
            <w:pPr>
              <w:pStyle w:val="Normal"/>
              <w:widowControl/>
              <w:spacing w:lineRule="auto" w:line="240" w:before="0" w:after="0"/>
              <w:jc w:val="left"/>
              <w:rPr/>
            </w:pPr>
            <w:r>
              <w:rPr>
                <w:rFonts w:eastAsia="Calibri"/>
                <w:kern w:val="0"/>
                <w:sz w:val="22"/>
                <w:szCs w:val="22"/>
                <w:lang w:val="es-ES" w:eastAsia="en-US" w:bidi="ar-SA"/>
              </w:rPr>
              <w:t>3.4. Poner en práctica los conocimientos adquiridos en la experimentación científica en laboratorio o campo, incluyendo el conocimiento de sus materiales y su normativa básica de uso, así como de las normas de seguridad propias de estos espacios, y comprendiendo la importancia en el progreso científico y emprendedor de que la experimentación sea segura, sin comprometer la integridad Física propia y colectiva.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pPr>
            <w:r>
              <w:rPr>
                <w:b/>
                <w:bCs/>
                <w:i w:val="false"/>
                <w:iCs w:val="false"/>
                <w:strike w:val="false"/>
                <w:dstrike w:val="false"/>
                <w:outline w:val="false"/>
                <w:shadow w:val="false"/>
                <w:color w:val="000000"/>
                <w:sz w:val="22"/>
                <w:szCs w:val="22"/>
                <w:u w:val="none"/>
              </w:rPr>
              <w:t>Pruebas escritas.</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Bloque 2</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pPr>
            <w:r>
              <w:rPr>
                <w:rFonts w:ascii="Calibri" w:hAnsi="Calibri"/>
                <w:color w:val="000000"/>
                <w:sz w:val="22"/>
                <w:szCs w:val="22"/>
                <w:lang w:val="es-ES"/>
              </w:rPr>
              <w:t>Las disoluciones.</w:t>
            </w:r>
          </w:p>
          <w:p>
            <w:pPr>
              <w:pStyle w:val="Estiloparrafos"/>
              <w:numPr>
                <w:ilvl w:val="0"/>
                <w:numId w:val="2"/>
              </w:numPr>
              <w:bidi w:val="0"/>
              <w:spacing w:before="0" w:after="60"/>
              <w:ind w:left="284" w:right="0" w:hanging="142"/>
              <w:rPr/>
            </w:pPr>
            <w:r>
              <w:rPr>
                <w:rFonts w:ascii="Calibri" w:hAnsi="Calibri"/>
                <w:color w:val="000000"/>
                <w:sz w:val="22"/>
                <w:szCs w:val="22"/>
                <w:lang w:val="es-ES"/>
              </w:rPr>
              <w:t>La concentración de una disolución; unidades físicas de la concentración; concentración y densidad de una disolución; unidades químicas para expresar la concentración; cambio en las unidades de la concentración.</w:t>
            </w:r>
          </w:p>
          <w:p>
            <w:pPr>
              <w:pStyle w:val="Estiloparrafos"/>
              <w:numPr>
                <w:ilvl w:val="0"/>
                <w:numId w:val="2"/>
              </w:numPr>
              <w:bidi w:val="0"/>
              <w:spacing w:before="0" w:after="60"/>
              <w:ind w:left="284" w:right="0" w:hanging="142"/>
              <w:rPr/>
            </w:pPr>
            <w:r>
              <w:rPr>
                <w:rFonts w:ascii="Calibri" w:hAnsi="Calibri"/>
                <w:color w:val="000000"/>
                <w:sz w:val="22"/>
                <w:szCs w:val="22"/>
                <w:lang w:val="es-ES"/>
              </w:rPr>
              <w:t>Solubilidad; la solubilidad de los sólidos y la temperatura; la solubilidad de los gases y la temperatura.</w:t>
            </w:r>
          </w:p>
          <w:p>
            <w:pPr>
              <w:pStyle w:val="Estiloparrafos"/>
              <w:numPr>
                <w:ilvl w:val="0"/>
                <w:numId w:val="2"/>
              </w:numPr>
              <w:bidi w:val="0"/>
              <w:spacing w:before="0" w:after="60"/>
              <w:ind w:left="284" w:right="0" w:hanging="142"/>
              <w:jc w:val="left"/>
              <w:rPr/>
            </w:pPr>
            <w:r>
              <w:rPr>
                <w:rFonts w:eastAsia="Calibri" w:ascii="Calibri" w:hAnsi="Calibri"/>
                <w:b w:val="false"/>
                <w:bCs w:val="false"/>
                <w:i w:val="false"/>
                <w:iCs w:val="false"/>
                <w:strike w:val="false"/>
                <w:dstrike w:val="false"/>
                <w:outline w:val="false"/>
                <w:shadow w:val="false"/>
                <w:color w:val="000000"/>
                <w:kern w:val="0"/>
                <w:sz w:val="22"/>
                <w:szCs w:val="22"/>
                <w:u w:val="none"/>
                <w:lang w:val="es-ES" w:eastAsia="en-US" w:bidi="ar-SA"/>
              </w:rPr>
              <w:t>Propiedades coligativas; descenso de la presión de vapor; ascenso del punto de ebullición; descenso del punto de congelación; ósmosis.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Refuerzo</w:t>
            </w:r>
          </w:p>
        </w:tc>
        <w:tc>
          <w:tcPr>
            <w:tcW w:w="7715" w:type="dxa"/>
            <w:gridSpan w:val="5"/>
            <w:tcBorders>
              <w:left w:val="single" w:sz="4" w:space="0" w:color="000000"/>
              <w:bottom w:val="single" w:sz="4" w:space="0" w:color="000000"/>
              <w:right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Ejercicios de reflexión, problemas prácticos, práctica de laboratorio.</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color w:val="C9211E"/>
          <w:sz w:val="22"/>
          <w:szCs w:val="22"/>
          <w:lang w:val="es-ES"/>
        </w:rPr>
      </w:pPr>
      <w:r>
        <w:rPr>
          <w:rFonts w:ascii="Calibri" w:hAnsi="Calibri"/>
          <w:color w:val="C9211E"/>
          <w:sz w:val="22"/>
          <w:szCs w:val="22"/>
          <w:lang w:val="es-ES"/>
        </w:rPr>
      </w:r>
    </w:p>
    <w:tbl>
      <w:tblPr>
        <w:tblW w:w="9645" w:type="dxa"/>
        <w:jc w:val="left"/>
        <w:tblInd w:w="0" w:type="dxa"/>
        <w:tblCellMar>
          <w:top w:w="55" w:type="dxa"/>
          <w:left w:w="55" w:type="dxa"/>
          <w:bottom w:w="55" w:type="dxa"/>
          <w:right w:w="55" w:type="dxa"/>
        </w:tblCellMar>
      </w:tblPr>
      <w:tblGrid>
        <w:gridCol w:w="1929"/>
        <w:gridCol w:w="1409"/>
        <w:gridCol w:w="3"/>
        <w:gridCol w:w="3122"/>
        <w:gridCol w:w="759"/>
        <w:gridCol w:w="2422"/>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TÍTULO: Reacciones químicas</w:t>
            </w:r>
          </w:p>
        </w:tc>
      </w:tr>
      <w:tr>
        <w:trPr/>
        <w:tc>
          <w:tcPr>
            <w:tcW w:w="192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Trimestre: 1º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Temporalización: enero - febrero</w:t>
            </w:r>
          </w:p>
        </w:tc>
        <w:tc>
          <w:tcPr>
            <w:tcW w:w="2422"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Sesiones:8-10</w:t>
            </w:r>
          </w:p>
        </w:tc>
      </w:tr>
      <w:tr>
        <w:trPr>
          <w:trHeight w:val="684"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Competencias específicas</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pPr>
            <w:r>
              <w:rPr>
                <w:rFonts w:ascii="Calibri" w:hAnsi="Calibri"/>
                <w:b/>
                <w:sz w:val="22"/>
                <w:szCs w:val="22"/>
                <w:u w:val="none"/>
              </w:rPr>
              <w:t>CE.FQ.1,  CE.FQ.2, CE.FQ.3,</w:t>
            </w:r>
            <w:r>
              <w:rPr>
                <w:rFonts w:eastAsia="Calibri" w:ascii="Calibri" w:hAnsi="Calibri"/>
                <w:b/>
                <w:kern w:val="0"/>
                <w:sz w:val="22"/>
                <w:szCs w:val="22"/>
                <w:u w:val="none"/>
                <w:lang w:val="es-ES" w:eastAsia="en-US" w:bidi="ar-SA"/>
              </w:rPr>
              <w:t>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 xml:space="preserve">CE.FQ.1 </w:t>
            </w:r>
          </w:p>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CE.FQ.2</w:t>
            </w:r>
          </w:p>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 xml:space="preserve">CE.FQ.3 </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CE.FQ.4</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CE.FQ.6</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pPr>
            <w:r>
              <w:rPr>
                <w:rFonts w:eastAsia="Calibri"/>
                <w:kern w:val="0"/>
                <w:sz w:val="22"/>
                <w:szCs w:val="22"/>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3.4. Poner en práctica los conocimientos adquiridos en la experimentación científica en laboratorio o campo, incluyendo el conocimiento de sus materiales y su normativa básica de uso, así como de las normas de seguridad propias de estos espacios, y comprendiendo la importancia en el progreso científico y emprendedor de que la experimentación sea segura, sin comprometer la integridad Física propia y colectiva.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pPr>
            <w:r>
              <w:rPr>
                <w:b/>
                <w:bCs/>
                <w:i w:val="false"/>
                <w:iCs w:val="false"/>
                <w:strike w:val="false"/>
                <w:dstrike w:val="false"/>
                <w:outline w:val="false"/>
                <w:shadow w:val="false"/>
                <w:color w:val="000000"/>
                <w:sz w:val="22"/>
                <w:szCs w:val="22"/>
                <w:u w:val="none"/>
              </w:rPr>
              <w:t>Pruebas escritas.</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Bloque 3:</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REACCIONES QUÍMICAS</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pPr>
            <w:r>
              <w:rPr>
                <w:rFonts w:ascii="Calibri" w:hAnsi="Calibri"/>
                <w:sz w:val="22"/>
                <w:szCs w:val="22"/>
                <w:lang w:val="es-ES"/>
              </w:rPr>
              <w:t>Ajuste de una ecuación química.</w:t>
            </w:r>
          </w:p>
          <w:p>
            <w:pPr>
              <w:pStyle w:val="Estiloparrafos"/>
              <w:numPr>
                <w:ilvl w:val="0"/>
                <w:numId w:val="2"/>
              </w:numPr>
              <w:bidi w:val="0"/>
              <w:spacing w:before="0" w:after="60"/>
              <w:ind w:left="284" w:right="0" w:hanging="142"/>
              <w:jc w:val="left"/>
              <w:rPr/>
            </w:pPr>
            <w:r>
              <w:rPr>
                <w:rFonts w:ascii="Calibri" w:hAnsi="Calibri"/>
                <w:b w:val="false"/>
                <w:bCs w:val="false"/>
                <w:i w:val="false"/>
                <w:iCs w:val="false"/>
                <w:strike w:val="false"/>
                <w:dstrike w:val="false"/>
                <w:outline w:val="false"/>
                <w:shadow w:val="false"/>
                <w:color w:val="000000"/>
                <w:sz w:val="22"/>
                <w:szCs w:val="22"/>
                <w:u w:val="none"/>
                <w:lang w:val="es-ES"/>
              </w:rPr>
              <w:t>Cálculos estequiométricos en las reacciones químicas; cálculo de la materia en las reacciones químicas; cálculos estequiométricos en una reacción, cálculos con reactivos de dterminada riqueza, con un reactivo limitante y en procesos con rendimiento inferior al 100%.</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Refuerzo</w:t>
            </w:r>
          </w:p>
        </w:tc>
        <w:tc>
          <w:tcPr>
            <w:tcW w:w="7715" w:type="dxa"/>
            <w:gridSpan w:val="5"/>
            <w:tcBorders>
              <w:left w:val="single" w:sz="4" w:space="0" w:color="000000"/>
              <w:bottom w:val="single" w:sz="4" w:space="0" w:color="000000"/>
              <w:right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360" w:after="120"/>
        <w:ind w:left="567" w:right="0" w:hanging="0"/>
        <w:rPr>
          <w:rFonts w:ascii="Calibri" w:hAnsi="Calibri"/>
          <w:b/>
          <w:b/>
          <w:sz w:val="22"/>
          <w:szCs w:val="22"/>
        </w:rPr>
      </w:pPr>
      <w:r>
        <w:rPr>
          <w:rFonts w:ascii="Calibri" w:hAnsi="Calibri"/>
          <w:b/>
          <w:sz w:val="22"/>
          <w:szCs w:val="22"/>
        </w:rPr>
      </w:r>
    </w:p>
    <w:p>
      <w:pPr>
        <w:pStyle w:val="Estiloparrafos"/>
        <w:numPr>
          <w:ilvl w:val="0"/>
          <w:numId w:val="0"/>
        </w:numPr>
        <w:bidi w:val="0"/>
        <w:spacing w:before="0" w:after="60"/>
        <w:ind w:left="862" w:right="0" w:hanging="0"/>
        <w:rPr>
          <w:rFonts w:ascii="Calibri" w:hAnsi="Calibri"/>
          <w:sz w:val="22"/>
          <w:szCs w:val="22"/>
          <w:lang w:val="es-ES"/>
        </w:rPr>
      </w:pPr>
      <w:r>
        <w:rPr>
          <w:rFonts w:ascii="Calibri" w:hAnsi="Calibri"/>
          <w:sz w:val="22"/>
          <w:szCs w:val="22"/>
          <w:lang w:val="es-ES"/>
        </w:rPr>
      </w:r>
    </w:p>
    <w:tbl>
      <w:tblPr>
        <w:tblW w:w="9645" w:type="dxa"/>
        <w:jc w:val="left"/>
        <w:tblInd w:w="0" w:type="dxa"/>
        <w:tblCellMar>
          <w:top w:w="55" w:type="dxa"/>
          <w:left w:w="55" w:type="dxa"/>
          <w:bottom w:w="55" w:type="dxa"/>
          <w:right w:w="55" w:type="dxa"/>
        </w:tblCellMar>
      </w:tblPr>
      <w:tblGrid>
        <w:gridCol w:w="1929"/>
        <w:gridCol w:w="1409"/>
        <w:gridCol w:w="3"/>
        <w:gridCol w:w="3122"/>
        <w:gridCol w:w="759"/>
        <w:gridCol w:w="2422"/>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TÍTULO: Química del carbono</w:t>
            </w:r>
          </w:p>
        </w:tc>
      </w:tr>
      <w:tr>
        <w:trPr/>
        <w:tc>
          <w:tcPr>
            <w:tcW w:w="192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Trimestre: 2º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Temporalización: febrero - marzo</w:t>
            </w:r>
          </w:p>
        </w:tc>
        <w:tc>
          <w:tcPr>
            <w:tcW w:w="2422"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Sesiones:8-10</w:t>
            </w:r>
          </w:p>
        </w:tc>
      </w:tr>
      <w:tr>
        <w:trPr>
          <w:trHeight w:val="684"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Competencias específicas</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CE.FQ.1</w:t>
            </w:r>
          </w:p>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CE.FQ.3</w:t>
            </w:r>
          </w:p>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CE.FQ.6</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3.2. Nombrar y formular correctamente sustancias simples, iones y compuestos químicos inorgánicos y orgánicos utilizando las normas de la IUPAC, como parte de un lenguaje integrador y universal para toda la comunidad científica.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pPr>
            <w:r>
              <w:rPr>
                <w:b/>
                <w:bCs/>
                <w:i w:val="false"/>
                <w:iCs w:val="false"/>
                <w:strike w:val="false"/>
                <w:dstrike w:val="false"/>
                <w:outline w:val="false"/>
                <w:shadow w:val="false"/>
                <w:color w:val="000000"/>
                <w:sz w:val="22"/>
                <w:szCs w:val="22"/>
                <w:u w:val="none"/>
              </w:rPr>
              <w:t>Pruebas escritas.</w:t>
            </w:r>
          </w:p>
          <w:p>
            <w:pPr>
              <w:pStyle w:val="Contenidodelatabla"/>
              <w:jc w:val="center"/>
              <w:rPr/>
            </w:pPr>
            <w:r>
              <w:rPr>
                <w:b/>
                <w:bCs/>
                <w:i w:val="false"/>
                <w:iCs w:val="false"/>
                <w:strike w:val="false"/>
                <w:dstrike w:val="false"/>
                <w:outline w:val="false"/>
                <w:shadow w:val="false"/>
                <w:color w:val="000000"/>
                <w:sz w:val="22"/>
                <w:szCs w:val="22"/>
                <w:u w:val="none"/>
              </w:rPr>
              <w:t>Simulaciones en laboratorios virtuales.</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Bloque 4:</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QUÍMICA DEL CARBONO</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pPr>
            <w:r>
              <w:rPr>
                <w:rFonts w:ascii="Calibri" w:hAnsi="Calibri"/>
                <w:sz w:val="22"/>
                <w:szCs w:val="22"/>
                <w:lang w:val="es-ES"/>
              </w:rPr>
              <w:t>El átomo de carbono y sus enlaces.</w:t>
            </w:r>
          </w:p>
          <w:p>
            <w:pPr>
              <w:pStyle w:val="Estiloparrafos"/>
              <w:numPr>
                <w:ilvl w:val="0"/>
                <w:numId w:val="2"/>
              </w:numPr>
              <w:bidi w:val="0"/>
              <w:spacing w:before="0" w:after="60"/>
              <w:ind w:left="284" w:right="0" w:hanging="142"/>
              <w:rPr/>
            </w:pPr>
            <w:r>
              <w:rPr>
                <w:rFonts w:ascii="Calibri" w:hAnsi="Calibri"/>
                <w:sz w:val="22"/>
                <w:szCs w:val="22"/>
                <w:lang w:val="es-ES"/>
              </w:rPr>
              <w:t>Fórmula de los compuestos orgánicos; modelos de representar fórmulas de compuestos orgánicos; obtención de la fórmula de un compuesto orgánico.</w:t>
            </w:r>
          </w:p>
          <w:p>
            <w:pPr>
              <w:pStyle w:val="Estiloparrafos"/>
              <w:numPr>
                <w:ilvl w:val="0"/>
                <w:numId w:val="2"/>
              </w:numPr>
              <w:bidi w:val="0"/>
              <w:spacing w:before="0" w:after="60"/>
              <w:ind w:left="284" w:right="0" w:hanging="142"/>
              <w:rPr/>
            </w:pPr>
            <w:r>
              <w:rPr>
                <w:rFonts w:ascii="Calibri" w:hAnsi="Calibri"/>
                <w:sz w:val="22"/>
                <w:szCs w:val="22"/>
                <w:lang w:val="es-ES"/>
              </w:rPr>
              <w:t>Formulación de compuestos orgánicos; formulación de hidrocarburos; compuestos oxigenados y compuestos nitrogenados.</w:t>
            </w:r>
          </w:p>
          <w:p>
            <w:pPr>
              <w:pStyle w:val="Estiloparrafos"/>
              <w:numPr>
                <w:ilvl w:val="0"/>
                <w:numId w:val="2"/>
              </w:numPr>
              <w:bidi w:val="0"/>
              <w:spacing w:before="0" w:after="60"/>
              <w:ind w:left="284" w:right="0" w:hanging="142"/>
              <w:rPr/>
            </w:pPr>
            <w:r>
              <w:rPr>
                <w:rFonts w:ascii="Calibri" w:hAnsi="Calibri"/>
                <w:sz w:val="22"/>
                <w:szCs w:val="22"/>
                <w:lang w:val="es-ES"/>
              </w:rPr>
              <w:t>Isomería.</w:t>
            </w:r>
          </w:p>
          <w:p>
            <w:pPr>
              <w:pStyle w:val="Estiloparrafos"/>
              <w:numPr>
                <w:ilvl w:val="0"/>
                <w:numId w:val="2"/>
              </w:numPr>
              <w:bidi w:val="0"/>
              <w:spacing w:before="0" w:after="60"/>
              <w:ind w:left="284" w:right="0" w:hanging="142"/>
              <w:rPr/>
            </w:pPr>
            <w:r>
              <w:rPr>
                <w:rFonts w:ascii="Calibri" w:hAnsi="Calibri"/>
                <w:sz w:val="22"/>
                <w:szCs w:val="22"/>
                <w:lang w:val="es-ES"/>
              </w:rPr>
              <w:t>Reacciones de los compuestos orgánicos; reacciones de combustión; reacciones de condensación e hidrólisis.</w:t>
            </w:r>
          </w:p>
          <w:p>
            <w:pPr>
              <w:pStyle w:val="Estiloparrafos"/>
              <w:numPr>
                <w:ilvl w:val="0"/>
                <w:numId w:val="2"/>
              </w:numPr>
              <w:bidi w:val="0"/>
              <w:spacing w:before="0" w:after="60"/>
              <w:ind w:left="284" w:right="0" w:hanging="142"/>
              <w:jc w:val="left"/>
              <w:rPr/>
            </w:pPr>
            <w:r>
              <w:rPr>
                <w:rFonts w:ascii="Calibri" w:hAnsi="Calibri"/>
                <w:b w:val="false"/>
                <w:bCs w:val="false"/>
                <w:i w:val="false"/>
                <w:iCs w:val="false"/>
                <w:strike w:val="false"/>
                <w:dstrike w:val="false"/>
                <w:outline w:val="false"/>
                <w:shadow w:val="false"/>
                <w:color w:val="000000"/>
                <w:sz w:val="22"/>
                <w:szCs w:val="22"/>
                <w:u w:val="none"/>
                <w:lang w:val="es-ES"/>
              </w:rPr>
              <w:t>Polímeros: estructura, propiedades, clasificación y aplicaciones.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Refuerzo</w:t>
            </w:r>
          </w:p>
        </w:tc>
        <w:tc>
          <w:tcPr>
            <w:tcW w:w="7715" w:type="dxa"/>
            <w:gridSpan w:val="5"/>
            <w:tcBorders>
              <w:left w:val="single" w:sz="4" w:space="0" w:color="000000"/>
              <w:bottom w:val="single" w:sz="4" w:space="0" w:color="000000"/>
              <w:right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360" w:after="120"/>
        <w:ind w:left="567" w:right="0" w:hanging="0"/>
        <w:rPr>
          <w:rFonts w:ascii="Calibri" w:hAnsi="Calibri"/>
          <w:color w:val="C9211E"/>
          <w:sz w:val="22"/>
          <w:szCs w:val="22"/>
          <w:lang w:val="es-ES"/>
        </w:rPr>
      </w:pPr>
      <w:r>
        <w:rPr>
          <w:rFonts w:ascii="Calibri" w:hAnsi="Calibri"/>
          <w:color w:val="C9211E"/>
          <w:sz w:val="22"/>
          <w:szCs w:val="22"/>
          <w:lang w:val="es-ES"/>
        </w:rPr>
      </w:r>
    </w:p>
    <w:tbl>
      <w:tblPr>
        <w:tblW w:w="9645" w:type="dxa"/>
        <w:jc w:val="left"/>
        <w:tblInd w:w="0" w:type="dxa"/>
        <w:tblCellMar>
          <w:top w:w="55" w:type="dxa"/>
          <w:left w:w="55" w:type="dxa"/>
          <w:bottom w:w="55" w:type="dxa"/>
          <w:right w:w="55" w:type="dxa"/>
        </w:tblCellMar>
      </w:tblPr>
      <w:tblGrid>
        <w:gridCol w:w="1929"/>
        <w:gridCol w:w="1409"/>
        <w:gridCol w:w="3"/>
        <w:gridCol w:w="3122"/>
        <w:gridCol w:w="759"/>
        <w:gridCol w:w="2422"/>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 xml:space="preserve">TÍTULO: El movimiento </w:t>
            </w:r>
          </w:p>
        </w:tc>
      </w:tr>
      <w:tr>
        <w:trPr/>
        <w:tc>
          <w:tcPr>
            <w:tcW w:w="192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Trimestre: 2º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Temporalización: marzo</w:t>
            </w:r>
          </w:p>
        </w:tc>
        <w:tc>
          <w:tcPr>
            <w:tcW w:w="2422"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Sesiones: 10-12</w:t>
            </w:r>
          </w:p>
        </w:tc>
      </w:tr>
      <w:tr>
        <w:trPr>
          <w:trHeight w:val="684"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Competencias específicas</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CE.FQ.1</w:t>
            </w:r>
          </w:p>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 xml:space="preserve">CE.FQ.3 </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 xml:space="preserve">CE.FQ.4 </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pPr>
            <w:r>
              <w:rPr>
                <w:rFonts w:eastAsia="Calibri"/>
                <w:kern w:val="0"/>
                <w:sz w:val="22"/>
                <w:szCs w:val="22"/>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3.4. Poner en práctica los conocimientos adquiridos en la experimentación científica en laboratorio o campo, incluyendo el conocimiento de sus materiales y su normativa básica de uso, así como de las normas de seguridad propias de estos espacios, y comprendiendo la importancia en el progreso científico y emprendedor de que la experimentación sea segura, sin comprometer la integridad Física propia y colectiva.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pPr>
            <w:r>
              <w:rPr>
                <w:b/>
                <w:bCs/>
                <w:i w:val="false"/>
                <w:iCs w:val="false"/>
                <w:strike w:val="false"/>
                <w:dstrike w:val="false"/>
                <w:outline w:val="false"/>
                <w:shadow w:val="false"/>
                <w:color w:val="000000"/>
                <w:sz w:val="22"/>
                <w:szCs w:val="22"/>
                <w:u w:val="none"/>
              </w:rPr>
              <w:t>Pruebas escritas.</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Simulaciones en laboratorios virtuales.</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Bloque 5:</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CINEMÁTICA</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pPr>
            <w:r>
              <w:rPr>
                <w:rFonts w:ascii="Calibri" w:hAnsi="Calibri"/>
                <w:sz w:val="22"/>
                <w:szCs w:val="22"/>
                <w:lang w:val="es-ES"/>
              </w:rPr>
              <w:t>Introducción; el punto material.</w:t>
            </w:r>
          </w:p>
          <w:p>
            <w:pPr>
              <w:pStyle w:val="Estiloparrafos"/>
              <w:numPr>
                <w:ilvl w:val="0"/>
                <w:numId w:val="2"/>
              </w:numPr>
              <w:bidi w:val="0"/>
              <w:spacing w:before="0" w:after="60"/>
              <w:ind w:left="284" w:right="0" w:hanging="142"/>
              <w:rPr/>
            </w:pPr>
            <w:r>
              <w:rPr>
                <w:rFonts w:ascii="Calibri" w:hAnsi="Calibri"/>
                <w:sz w:val="22"/>
                <w:szCs w:val="22"/>
                <w:lang w:val="es-ES"/>
              </w:rPr>
              <w:t>La posición; la posición a lo largo de la trayectoria; la posición mediante coordenadas en un sistema de referencia; el vector de posición; el vector desplazamiento.</w:t>
            </w:r>
          </w:p>
          <w:p>
            <w:pPr>
              <w:pStyle w:val="Estiloparrafos"/>
              <w:numPr>
                <w:ilvl w:val="0"/>
                <w:numId w:val="2"/>
              </w:numPr>
              <w:bidi w:val="0"/>
              <w:spacing w:before="0" w:after="60"/>
              <w:ind w:left="284" w:right="0" w:hanging="142"/>
              <w:rPr/>
            </w:pPr>
            <w:r>
              <w:rPr>
                <w:rFonts w:ascii="Calibri" w:hAnsi="Calibri"/>
                <w:sz w:val="22"/>
                <w:szCs w:val="22"/>
                <w:lang w:val="es-ES"/>
              </w:rPr>
              <w:t>La velocidad; la velocidad media; la velocidad instantánea; la velocidad y el sistema de referencia.</w:t>
            </w:r>
          </w:p>
          <w:p>
            <w:pPr>
              <w:pStyle w:val="Estiloparrafos"/>
              <w:numPr>
                <w:ilvl w:val="0"/>
                <w:numId w:val="2"/>
              </w:numPr>
              <w:bidi w:val="0"/>
              <w:spacing w:before="0" w:after="60"/>
              <w:ind w:left="284" w:right="0" w:hanging="142"/>
              <w:jc w:val="left"/>
              <w:rPr/>
            </w:pPr>
            <w:r>
              <w:rPr>
                <w:rFonts w:ascii="Calibri" w:hAnsi="Calibri"/>
                <w:b w:val="false"/>
                <w:bCs w:val="false"/>
                <w:i w:val="false"/>
                <w:iCs w:val="false"/>
                <w:strike w:val="false"/>
                <w:dstrike w:val="false"/>
                <w:outline w:val="false"/>
                <w:shadow w:val="false"/>
                <w:color w:val="000000"/>
                <w:sz w:val="22"/>
                <w:szCs w:val="22"/>
                <w:u w:val="none"/>
                <w:lang w:val="es-ES"/>
              </w:rPr>
              <w:t>La aceleración; componentes intrínsecos de la aceleración. El módulo de la aceleración; la aceleración y el sistema de referencia; clasificación de los movimientos según su aceleración.</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Refuerzo</w:t>
            </w:r>
          </w:p>
        </w:tc>
        <w:tc>
          <w:tcPr>
            <w:tcW w:w="7715" w:type="dxa"/>
            <w:gridSpan w:val="5"/>
            <w:tcBorders>
              <w:left w:val="single" w:sz="4" w:space="0" w:color="000000"/>
              <w:bottom w:val="single" w:sz="4" w:space="0" w:color="000000"/>
              <w:right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eastAsia="Calibri"/>
          <w:color w:val="C9211E"/>
          <w:kern w:val="0"/>
          <w:sz w:val="22"/>
          <w:szCs w:val="22"/>
          <w:u w:val="none"/>
          <w:lang w:val="es-ES" w:eastAsia="en-US" w:bidi="ar-SA"/>
        </w:rPr>
      </w:pPr>
      <w:r>
        <w:rPr>
          <w:rFonts w:eastAsia="Calibri" w:ascii="Calibri" w:hAnsi="Calibri"/>
          <w:color w:val="C9211E"/>
          <w:kern w:val="0"/>
          <w:sz w:val="22"/>
          <w:szCs w:val="22"/>
          <w:u w:val="none"/>
          <w:lang w:val="es-ES" w:eastAsia="en-US" w:bidi="ar-SA"/>
        </w:rPr>
      </w:r>
    </w:p>
    <w:tbl>
      <w:tblPr>
        <w:tblW w:w="9645" w:type="dxa"/>
        <w:jc w:val="left"/>
        <w:tblInd w:w="0" w:type="dxa"/>
        <w:tblCellMar>
          <w:top w:w="55" w:type="dxa"/>
          <w:left w:w="55" w:type="dxa"/>
          <w:bottom w:w="55" w:type="dxa"/>
          <w:right w:w="55" w:type="dxa"/>
        </w:tblCellMar>
      </w:tblPr>
      <w:tblGrid>
        <w:gridCol w:w="1929"/>
        <w:gridCol w:w="1409"/>
        <w:gridCol w:w="3"/>
        <w:gridCol w:w="3122"/>
        <w:gridCol w:w="759"/>
        <w:gridCol w:w="2422"/>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TÍTULO: Tipos de movimientos</w:t>
            </w:r>
          </w:p>
        </w:tc>
      </w:tr>
      <w:tr>
        <w:trPr/>
        <w:tc>
          <w:tcPr>
            <w:tcW w:w="192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Trimestre: 3º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Temporalización: marzo - abril</w:t>
            </w:r>
          </w:p>
        </w:tc>
        <w:tc>
          <w:tcPr>
            <w:tcW w:w="2422"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Sesiones: 10-12</w:t>
            </w:r>
          </w:p>
        </w:tc>
      </w:tr>
      <w:tr>
        <w:trPr>
          <w:trHeight w:val="684"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Competencias específicas</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CE.FQ.3</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 xml:space="preserve">CE.FQ.4 </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pPr>
            <w:r>
              <w:rPr>
                <w:b/>
                <w:bCs/>
                <w:i w:val="false"/>
                <w:iCs w:val="false"/>
                <w:strike w:val="false"/>
                <w:dstrike w:val="false"/>
                <w:outline w:val="false"/>
                <w:shadow w:val="false"/>
                <w:color w:val="000000"/>
                <w:sz w:val="22"/>
                <w:szCs w:val="22"/>
                <w:u w:val="none"/>
              </w:rPr>
              <w:t>Pruebas escritas.</w:t>
            </w:r>
          </w:p>
          <w:p>
            <w:pPr>
              <w:pStyle w:val="Contenidodelatabla"/>
              <w:jc w:val="center"/>
              <w:rPr/>
            </w:pPr>
            <w:r>
              <w:rPr>
                <w:b/>
                <w:bCs/>
                <w:i w:val="false"/>
                <w:iCs w:val="false"/>
                <w:strike w:val="false"/>
                <w:dstrike w:val="false"/>
                <w:outline w:val="false"/>
                <w:shadow w:val="false"/>
                <w:color w:val="000000"/>
                <w:sz w:val="22"/>
                <w:szCs w:val="22"/>
                <w:u w:val="none"/>
              </w:rPr>
              <w:t>Simulaciones en laboratorios virtuales.</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Bloque 5: CINEMÁTICA</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pPr>
            <w:r>
              <w:rPr>
                <w:rFonts w:ascii="Calibri" w:hAnsi="Calibri"/>
                <w:sz w:val="22"/>
                <w:szCs w:val="22"/>
                <w:lang w:val="es-ES"/>
              </w:rPr>
              <w:t>Movimiento rectilíneo y uniforme; representación gráfica de movimientos uniformes.</w:t>
            </w:r>
          </w:p>
          <w:p>
            <w:pPr>
              <w:pStyle w:val="Estiloparrafos"/>
              <w:numPr>
                <w:ilvl w:val="0"/>
                <w:numId w:val="2"/>
              </w:numPr>
              <w:bidi w:val="0"/>
              <w:spacing w:before="0" w:after="60"/>
              <w:ind w:left="284" w:right="0" w:hanging="142"/>
              <w:rPr/>
            </w:pPr>
            <w:r>
              <w:rPr>
                <w:rFonts w:ascii="Calibri" w:hAnsi="Calibri"/>
                <w:sz w:val="22"/>
                <w:szCs w:val="22"/>
                <w:lang w:val="es-ES"/>
              </w:rPr>
              <w:t>Movimientos con aceleración constante; la ecuación de la velocidad en la MUA; la ecuación de la posición en el MUA; movimiento rectilíneo uniformemente acelerado; ecuaciones de MRUA; representación gráfica del MRUA; movimientos rectilíneos bajo la gravedad.</w:t>
            </w:r>
          </w:p>
          <w:p>
            <w:pPr>
              <w:pStyle w:val="Estiloparrafos"/>
              <w:numPr>
                <w:ilvl w:val="0"/>
                <w:numId w:val="2"/>
              </w:numPr>
              <w:bidi w:val="0"/>
              <w:spacing w:before="0" w:after="60"/>
              <w:ind w:left="284" w:right="0" w:hanging="142"/>
              <w:rPr/>
            </w:pPr>
            <w:r>
              <w:rPr>
                <w:rFonts w:ascii="Calibri" w:hAnsi="Calibri"/>
                <w:sz w:val="22"/>
                <w:szCs w:val="22"/>
                <w:lang w:val="es-ES"/>
              </w:rPr>
              <w:t>Movimiento parabólico; tiro parabólico sencillo; tiro parabólico desde cierta altura.</w:t>
            </w:r>
          </w:p>
          <w:p>
            <w:pPr>
              <w:pStyle w:val="Estiloparrafos"/>
              <w:numPr>
                <w:ilvl w:val="0"/>
                <w:numId w:val="2"/>
              </w:numPr>
              <w:bidi w:val="0"/>
              <w:spacing w:before="0" w:after="60"/>
              <w:ind w:left="284" w:right="0" w:hanging="142"/>
              <w:rPr/>
            </w:pPr>
            <w:r>
              <w:rPr>
                <w:rFonts w:ascii="Calibri" w:hAnsi="Calibri"/>
                <w:sz w:val="22"/>
                <w:szCs w:val="22"/>
                <w:lang w:val="es-ES"/>
              </w:rPr>
              <w:t>Movimientos circulares; la posición angular; la velocidad angular; la aceleración angular; el movimiento circular uniforme; MCU; el movimiento circular uniformemente acelerado; MCUA.</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Refuerzo</w:t>
            </w:r>
          </w:p>
        </w:tc>
        <w:tc>
          <w:tcPr>
            <w:tcW w:w="7715" w:type="dxa"/>
            <w:gridSpan w:val="5"/>
            <w:tcBorders>
              <w:left w:val="single" w:sz="4" w:space="0" w:color="000000"/>
              <w:bottom w:val="single" w:sz="4" w:space="0" w:color="000000"/>
              <w:right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360" w:after="120"/>
        <w:ind w:left="567" w:right="0" w:hanging="0"/>
        <w:rPr>
          <w:rFonts w:ascii="Calibri" w:hAnsi="Calibri"/>
          <w:color w:val="C9211E"/>
          <w:sz w:val="22"/>
          <w:szCs w:val="22"/>
          <w:lang w:val="es-ES"/>
        </w:rPr>
      </w:pPr>
      <w:r>
        <w:rPr>
          <w:rFonts w:ascii="Calibri" w:hAnsi="Calibri"/>
          <w:color w:val="C9211E"/>
          <w:sz w:val="22"/>
          <w:szCs w:val="22"/>
          <w:lang w:val="es-ES"/>
        </w:rPr>
      </w:r>
    </w:p>
    <w:tbl>
      <w:tblPr>
        <w:tblW w:w="9645" w:type="dxa"/>
        <w:jc w:val="left"/>
        <w:tblInd w:w="0" w:type="dxa"/>
        <w:tblCellMar>
          <w:top w:w="55" w:type="dxa"/>
          <w:left w:w="55" w:type="dxa"/>
          <w:bottom w:w="55" w:type="dxa"/>
          <w:right w:w="55" w:type="dxa"/>
        </w:tblCellMar>
      </w:tblPr>
      <w:tblGrid>
        <w:gridCol w:w="1929"/>
        <w:gridCol w:w="1409"/>
        <w:gridCol w:w="3"/>
        <w:gridCol w:w="3122"/>
        <w:gridCol w:w="759"/>
        <w:gridCol w:w="2422"/>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TÍTULO:  Las fuerzas</w:t>
            </w:r>
          </w:p>
        </w:tc>
      </w:tr>
      <w:tr>
        <w:trPr/>
        <w:tc>
          <w:tcPr>
            <w:tcW w:w="192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Trimestre: 3º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Temporalización: abril</w:t>
            </w:r>
          </w:p>
        </w:tc>
        <w:tc>
          <w:tcPr>
            <w:tcW w:w="2422"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Sesiones: 10</w:t>
            </w:r>
          </w:p>
        </w:tc>
      </w:tr>
      <w:tr>
        <w:trPr>
          <w:trHeight w:val="684"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Competencias específicas</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 xml:space="preserve">CE.FQ.1 </w:t>
            </w:r>
          </w:p>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CE.FQ.3</w:t>
            </w:r>
          </w:p>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1.2. Resolver problemas fisicoquímicos planteados a partir de situaciones cotidianas, aplicando las leyes y teorías científicas para encontrar y argumentar las soluciones, expresando adecuadamente los resultados.</w:t>
            </w:r>
          </w:p>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1.3. Identificar situaciones problemáticas en el entorno cotidiano, emprender iniciativas y buscar soluciones sostenibles desde la Física y la Química, analizando críticamente el impacto producido en la sociedad y el medioambiente.</w:t>
            </w:r>
          </w:p>
          <w:p>
            <w:pPr>
              <w:pStyle w:val="Normal"/>
              <w:widowControl/>
              <w:spacing w:lineRule="auto" w:line="240" w:before="0" w:after="0"/>
              <w:jc w:val="left"/>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pPr>
            <w:r>
              <w:rPr>
                <w:b/>
                <w:bCs/>
                <w:i w:val="false"/>
                <w:iCs w:val="false"/>
                <w:strike w:val="false"/>
                <w:dstrike w:val="false"/>
                <w:outline w:val="false"/>
                <w:shadow w:val="false"/>
                <w:color w:val="000000"/>
                <w:sz w:val="22"/>
                <w:szCs w:val="22"/>
                <w:u w:val="none"/>
              </w:rPr>
              <w:t>Pruebas escritas.</w:t>
            </w:r>
          </w:p>
          <w:p>
            <w:pPr>
              <w:pStyle w:val="Contenidodelatabla"/>
              <w:jc w:val="center"/>
              <w:rPr/>
            </w:pPr>
            <w:r>
              <w:rPr>
                <w:b/>
                <w:bCs/>
                <w:i w:val="false"/>
                <w:iCs w:val="false"/>
                <w:strike w:val="false"/>
                <w:dstrike w:val="false"/>
                <w:outline w:val="false"/>
                <w:shadow w:val="false"/>
                <w:color w:val="000000"/>
                <w:sz w:val="22"/>
                <w:szCs w:val="22"/>
                <w:u w:val="none"/>
              </w:rPr>
              <w:t>Simulaciones en laboratorios virtuales.</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Bloque 6: DINÁMICA</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pPr>
            <w:r>
              <w:rPr>
                <w:rFonts w:ascii="Calibri" w:hAnsi="Calibri"/>
                <w:sz w:val="22"/>
                <w:szCs w:val="22"/>
                <w:lang w:val="es-ES"/>
              </w:rPr>
              <w:t>Fuerzas a distancia; la fuerza como interacción; la fuerza gravitatoria; la fuerza eléctrica.</w:t>
            </w:r>
          </w:p>
          <w:p>
            <w:pPr>
              <w:pStyle w:val="Estiloparrafos"/>
              <w:numPr>
                <w:ilvl w:val="0"/>
                <w:numId w:val="2"/>
              </w:numPr>
              <w:bidi w:val="0"/>
              <w:spacing w:before="0" w:after="60"/>
              <w:ind w:left="284" w:right="0" w:hanging="142"/>
              <w:rPr/>
            </w:pPr>
            <w:r>
              <w:rPr>
                <w:rFonts w:ascii="Calibri" w:hAnsi="Calibri"/>
                <w:sz w:val="22"/>
                <w:szCs w:val="22"/>
                <w:lang w:val="es-ES"/>
              </w:rPr>
              <w:t>Fuerzas de contacto; la fuerza normal; fuerzas de rozamiento; la fuerza tensión.</w:t>
            </w:r>
          </w:p>
          <w:p>
            <w:pPr>
              <w:pStyle w:val="Estiloparrafos"/>
              <w:numPr>
                <w:ilvl w:val="0"/>
                <w:numId w:val="2"/>
              </w:numPr>
              <w:bidi w:val="0"/>
              <w:spacing w:before="0" w:after="60"/>
              <w:ind w:left="284" w:right="0" w:hanging="142"/>
              <w:rPr/>
            </w:pPr>
            <w:r>
              <w:rPr>
                <w:rFonts w:ascii="Calibri" w:hAnsi="Calibri"/>
                <w:sz w:val="22"/>
                <w:szCs w:val="22"/>
                <w:lang w:val="es-ES"/>
              </w:rPr>
              <w:t>El problema del equilibrio; las fuerzas son aditivas; primera condición de equilibrio; segunda condición de equilibrio.</w:t>
            </w:r>
          </w:p>
          <w:p>
            <w:pPr>
              <w:pStyle w:val="Estiloparrafos"/>
              <w:numPr>
                <w:ilvl w:val="0"/>
                <w:numId w:val="2"/>
              </w:numPr>
              <w:bidi w:val="0"/>
              <w:spacing w:before="0" w:after="60"/>
              <w:ind w:left="284" w:right="0" w:hanging="142"/>
              <w:rPr/>
            </w:pPr>
            <w:r>
              <w:rPr>
                <w:rFonts w:ascii="Calibri" w:hAnsi="Calibri"/>
                <w:sz w:val="22"/>
                <w:szCs w:val="22"/>
                <w:lang w:val="es-ES"/>
              </w:rPr>
              <w:t>Movimiento lineal e impulso; cambio en la velocidad e impulso mecánico; momento lineal (o cantidad de movimiento); relación entre el momento lineal y la fuerza.</w:t>
            </w:r>
          </w:p>
          <w:p>
            <w:pPr>
              <w:pStyle w:val="Estiloparrafos"/>
              <w:numPr>
                <w:ilvl w:val="0"/>
                <w:numId w:val="2"/>
              </w:numPr>
              <w:bidi w:val="0"/>
              <w:spacing w:before="0" w:after="60"/>
              <w:ind w:left="284" w:right="0" w:hanging="142"/>
              <w:jc w:val="left"/>
              <w:rPr/>
            </w:pPr>
            <w:r>
              <w:rPr>
                <w:rFonts w:ascii="Calibri" w:hAnsi="Calibri"/>
                <w:b w:val="false"/>
                <w:bCs w:val="false"/>
                <w:i w:val="false"/>
                <w:iCs w:val="false"/>
                <w:strike w:val="false"/>
                <w:dstrike w:val="false"/>
                <w:outline w:val="false"/>
                <w:shadow w:val="false"/>
                <w:color w:val="000000"/>
                <w:sz w:val="22"/>
                <w:szCs w:val="22"/>
                <w:u w:val="none"/>
                <w:lang w:val="es-ES"/>
              </w:rPr>
              <w:t>La conservación del momento lineal; la tercera ley de Newton y la conservación del momento lineal; colisiones.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Refuerzo</w:t>
            </w:r>
          </w:p>
        </w:tc>
        <w:tc>
          <w:tcPr>
            <w:tcW w:w="7715" w:type="dxa"/>
            <w:gridSpan w:val="5"/>
            <w:tcBorders>
              <w:left w:val="single" w:sz="4" w:space="0" w:color="000000"/>
              <w:bottom w:val="single" w:sz="4" w:space="0" w:color="000000"/>
              <w:right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b/>
          <w:b/>
          <w:sz w:val="22"/>
          <w:szCs w:val="22"/>
        </w:rPr>
      </w:pPr>
      <w:r>
        <w:rPr>
          <w:rFonts w:ascii="Calibri" w:hAnsi="Calibri"/>
          <w:b/>
          <w:sz w:val="22"/>
          <w:szCs w:val="22"/>
        </w:rPr>
      </w:r>
    </w:p>
    <w:tbl>
      <w:tblPr>
        <w:tblW w:w="9645" w:type="dxa"/>
        <w:jc w:val="left"/>
        <w:tblInd w:w="0" w:type="dxa"/>
        <w:tblCellMar>
          <w:top w:w="55" w:type="dxa"/>
          <w:left w:w="55" w:type="dxa"/>
          <w:bottom w:w="55" w:type="dxa"/>
          <w:right w:w="55" w:type="dxa"/>
        </w:tblCellMar>
      </w:tblPr>
      <w:tblGrid>
        <w:gridCol w:w="1929"/>
        <w:gridCol w:w="1409"/>
        <w:gridCol w:w="3"/>
        <w:gridCol w:w="3122"/>
        <w:gridCol w:w="759"/>
        <w:gridCol w:w="2422"/>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TÍTULO:  Dinámica</w:t>
            </w:r>
          </w:p>
        </w:tc>
      </w:tr>
      <w:tr>
        <w:trPr/>
        <w:tc>
          <w:tcPr>
            <w:tcW w:w="192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Trimestre: 3º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Temporalización: mayo</w:t>
            </w:r>
          </w:p>
        </w:tc>
        <w:tc>
          <w:tcPr>
            <w:tcW w:w="2422"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Sesiones:10</w:t>
            </w:r>
          </w:p>
        </w:tc>
      </w:tr>
      <w:tr>
        <w:trPr>
          <w:trHeight w:val="684"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Competencias específicas</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CE.FQ.1</w:t>
            </w:r>
          </w:p>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CE.FQ.3</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CE.FQ.4</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pPr>
            <w:r>
              <w:rPr>
                <w:rFonts w:eastAsia="Calibri"/>
                <w:kern w:val="0"/>
                <w:sz w:val="22"/>
                <w:szCs w:val="22"/>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3.4. Poner en práctica los conocimientos adquiridos en la experimentación científica en laboratorio o campo, incluyendo el conocimiento de sus materiales y su normativa básica de uso, así como de las normas de seguridad propias de estos espacios, y comprendiendo la importancia en el progreso científico y emprendedor de que la experimentación sea segura, sin comprometer la integridad Física propia y colectiva.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pPr>
            <w:r>
              <w:rPr>
                <w:b/>
                <w:bCs/>
                <w:i w:val="false"/>
                <w:iCs w:val="false"/>
                <w:strike w:val="false"/>
                <w:dstrike w:val="false"/>
                <w:outline w:val="false"/>
                <w:shadow w:val="false"/>
                <w:color w:val="000000"/>
                <w:sz w:val="22"/>
                <w:szCs w:val="22"/>
                <w:u w:val="none"/>
              </w:rPr>
              <w:t>Pruebas escritas.</w:t>
            </w:r>
          </w:p>
          <w:p>
            <w:pPr>
              <w:pStyle w:val="Contenidodelatabla"/>
              <w:jc w:val="center"/>
              <w:rPr/>
            </w:pPr>
            <w:r>
              <w:rPr>
                <w:b/>
                <w:bCs/>
                <w:i w:val="false"/>
                <w:iCs w:val="false"/>
                <w:strike w:val="false"/>
                <w:dstrike w:val="false"/>
                <w:outline w:val="false"/>
                <w:shadow w:val="false"/>
                <w:color w:val="000000"/>
                <w:sz w:val="22"/>
                <w:szCs w:val="22"/>
                <w:u w:val="none"/>
              </w:rPr>
              <w:t>Simulaciones en laboratorios virtuales.</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Bloque 6:</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DINÁMICA</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pPr>
            <w:r>
              <w:rPr>
                <w:rFonts w:ascii="Calibri" w:hAnsi="Calibri"/>
                <w:sz w:val="22"/>
                <w:szCs w:val="22"/>
                <w:lang w:val="es-ES"/>
              </w:rPr>
              <w:t>Dinámica del MAS; fuerzas elásticas; dinámica del movimiento armónico simple.</w:t>
            </w:r>
          </w:p>
          <w:p>
            <w:pPr>
              <w:pStyle w:val="Estiloparrafos"/>
              <w:numPr>
                <w:ilvl w:val="0"/>
                <w:numId w:val="2"/>
              </w:numPr>
              <w:bidi w:val="0"/>
              <w:spacing w:before="0" w:after="60"/>
              <w:ind w:left="284" w:right="0" w:hanging="142"/>
              <w:rPr/>
            </w:pPr>
            <w:r>
              <w:rPr>
                <w:rFonts w:ascii="Calibri" w:hAnsi="Calibri"/>
                <w:sz w:val="22"/>
                <w:szCs w:val="22"/>
                <w:lang w:val="es-ES"/>
              </w:rPr>
              <w:t>Dinámica del movimiento circular; movimiento circular uniforme; movimiento circular uniformemente acelerado.</w:t>
            </w:r>
          </w:p>
          <w:p>
            <w:pPr>
              <w:pStyle w:val="Estiloparrafos"/>
              <w:numPr>
                <w:ilvl w:val="0"/>
                <w:numId w:val="2"/>
              </w:numPr>
              <w:bidi w:val="0"/>
              <w:spacing w:before="0" w:after="60"/>
              <w:ind w:left="284" w:right="0" w:hanging="142"/>
              <w:rPr/>
            </w:pPr>
            <w:r>
              <w:rPr>
                <w:rFonts w:ascii="Calibri" w:hAnsi="Calibri"/>
                <w:sz w:val="22"/>
                <w:szCs w:val="22"/>
                <w:lang w:val="es-ES"/>
              </w:rPr>
              <w:t>La cinemática de los planetas; las leyes de Kepler; el momento angular de los planetas; leyes de Kepler y conservación del momento angular.</w:t>
            </w:r>
          </w:p>
          <w:p>
            <w:pPr>
              <w:pStyle w:val="Estiloparrafos"/>
              <w:numPr>
                <w:ilvl w:val="0"/>
                <w:numId w:val="2"/>
              </w:numPr>
              <w:bidi w:val="0"/>
              <w:spacing w:before="0" w:after="60"/>
              <w:ind w:left="284" w:right="0" w:hanging="142"/>
              <w:rPr/>
            </w:pPr>
            <w:r>
              <w:rPr>
                <w:rFonts w:ascii="Calibri" w:hAnsi="Calibri"/>
                <w:sz w:val="22"/>
                <w:szCs w:val="22"/>
                <w:lang w:val="es-ES"/>
              </w:rPr>
              <w:t>La dinámica de los planetas; de Kepler a Newton; el valor de la aceleración de la gravedad terrestre; la fuerza peso; aproximación a la idea de campo gravitatorio; ley de gravitación y satélites.</w:t>
            </w:r>
          </w:p>
          <w:p>
            <w:pPr>
              <w:pStyle w:val="Estiloparrafos"/>
              <w:numPr>
                <w:ilvl w:val="0"/>
                <w:numId w:val="2"/>
              </w:numPr>
              <w:bidi w:val="0"/>
              <w:spacing w:before="0" w:after="60"/>
              <w:ind w:left="284" w:right="0" w:hanging="142"/>
              <w:jc w:val="left"/>
              <w:rPr/>
            </w:pPr>
            <w:r>
              <w:rPr>
                <w:rFonts w:ascii="Calibri" w:hAnsi="Calibri"/>
                <w:b w:val="false"/>
                <w:bCs w:val="false"/>
                <w:i w:val="false"/>
                <w:iCs w:val="false"/>
                <w:strike w:val="false"/>
                <w:dstrike w:val="false"/>
                <w:outline w:val="false"/>
                <w:shadow w:val="false"/>
                <w:color w:val="000000"/>
                <w:sz w:val="22"/>
                <w:szCs w:val="22"/>
                <w:u w:val="none"/>
                <w:lang w:val="es-ES"/>
              </w:rPr>
              <w:t>Fuerzas centrales; semejanzas y diferencias entre fuerzas; estudio de cargas eléctricas suspendidas.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Refuerzo</w:t>
            </w:r>
          </w:p>
        </w:tc>
        <w:tc>
          <w:tcPr>
            <w:tcW w:w="7715" w:type="dxa"/>
            <w:gridSpan w:val="5"/>
            <w:tcBorders>
              <w:left w:val="single" w:sz="4" w:space="0" w:color="000000"/>
              <w:bottom w:val="single" w:sz="4" w:space="0" w:color="000000"/>
              <w:right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360" w:after="120"/>
        <w:ind w:left="567" w:right="0" w:hanging="0"/>
        <w:rPr>
          <w:rFonts w:ascii="Calibri" w:hAnsi="Calibri"/>
          <w:b/>
          <w:b/>
          <w:sz w:val="22"/>
          <w:szCs w:val="22"/>
        </w:rPr>
      </w:pPr>
      <w:r>
        <w:rPr>
          <w:rFonts w:ascii="Calibri" w:hAnsi="Calibri"/>
          <w:b/>
          <w:sz w:val="22"/>
          <w:szCs w:val="22"/>
        </w:rPr>
      </w:r>
    </w:p>
    <w:tbl>
      <w:tblPr>
        <w:tblW w:w="9645" w:type="dxa"/>
        <w:jc w:val="left"/>
        <w:tblInd w:w="0" w:type="dxa"/>
        <w:tblCellMar>
          <w:top w:w="55" w:type="dxa"/>
          <w:left w:w="55" w:type="dxa"/>
          <w:bottom w:w="55" w:type="dxa"/>
          <w:right w:w="55" w:type="dxa"/>
        </w:tblCellMar>
      </w:tblPr>
      <w:tblGrid>
        <w:gridCol w:w="1929"/>
        <w:gridCol w:w="1409"/>
        <w:gridCol w:w="3"/>
        <w:gridCol w:w="3122"/>
        <w:gridCol w:w="759"/>
        <w:gridCol w:w="2422"/>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TÍTULO: Trabajo y energía</w:t>
            </w:r>
          </w:p>
        </w:tc>
      </w:tr>
      <w:tr>
        <w:trPr/>
        <w:tc>
          <w:tcPr>
            <w:tcW w:w="192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Trimestre: 3º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Temporalización: mayo</w:t>
            </w:r>
          </w:p>
        </w:tc>
        <w:tc>
          <w:tcPr>
            <w:tcW w:w="2422"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Sesiones: 10</w:t>
            </w:r>
          </w:p>
        </w:tc>
      </w:tr>
      <w:tr>
        <w:trPr>
          <w:trHeight w:val="684"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Competencias específicas</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ind w:left="567" w:right="0" w:hanging="0"/>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360" w:after="120"/>
              <w:ind w:left="567" w:right="0" w:hanging="0"/>
              <w:jc w:val="center"/>
              <w:rPr/>
            </w:pPr>
            <w:r>
              <w:rPr>
                <w:rFonts w:ascii="Calibri" w:hAnsi="Calibri"/>
                <w:b/>
                <w:bCs/>
                <w:i w:val="false"/>
                <w:iCs w:val="false"/>
                <w:strike w:val="false"/>
                <w:dstrike w:val="false"/>
                <w:outline w:val="false"/>
                <w:shadow w:val="false"/>
                <w:color w:val="000000"/>
                <w:sz w:val="22"/>
                <w:szCs w:val="22"/>
                <w:u w:val="none"/>
              </w:rPr>
              <w:t>CE.FQ.1</w:t>
            </w:r>
          </w:p>
          <w:p>
            <w:pPr>
              <w:pStyle w:val="Estiloparrafos"/>
              <w:bidi w:val="0"/>
              <w:spacing w:before="360" w:after="120"/>
              <w:ind w:left="567" w:right="0" w:hanging="0"/>
              <w:jc w:val="center"/>
              <w:rPr/>
            </w:pPr>
            <w:r>
              <w:rPr>
                <w:rFonts w:ascii="Calibri" w:hAnsi="Calibri"/>
                <w:b/>
                <w:bCs/>
                <w:i w:val="false"/>
                <w:iCs w:val="false"/>
                <w:strike w:val="false"/>
                <w:dstrike w:val="false"/>
                <w:outline w:val="false"/>
                <w:shadow w:val="false"/>
                <w:color w:val="000000"/>
                <w:sz w:val="22"/>
                <w:szCs w:val="22"/>
                <w:u w:val="none"/>
              </w:rPr>
              <w:t xml:space="preserve"> </w:t>
            </w:r>
            <w:r>
              <w:rPr>
                <w:rFonts w:ascii="Calibri" w:hAnsi="Calibri"/>
                <w:b/>
                <w:bCs/>
                <w:i w:val="false"/>
                <w:iCs w:val="false"/>
                <w:strike w:val="false"/>
                <w:dstrike w:val="false"/>
                <w:outline w:val="false"/>
                <w:shadow w:val="false"/>
                <w:color w:val="000000"/>
                <w:sz w:val="22"/>
                <w:szCs w:val="22"/>
                <w:u w:val="none"/>
              </w:rPr>
              <w:t>CE.FQ.3</w:t>
            </w:r>
          </w:p>
          <w:p>
            <w:pPr>
              <w:pStyle w:val="Estiloparrafos"/>
              <w:bidi w:val="0"/>
              <w:spacing w:before="360" w:after="120"/>
              <w:ind w:left="567" w:right="0" w:hanging="0"/>
              <w:jc w:val="center"/>
              <w:rPr/>
            </w:pPr>
            <w:r>
              <w:rPr>
                <w:rFonts w:ascii="Calibri" w:hAnsi="Calibri"/>
                <w:b/>
                <w:bCs/>
                <w:i w:val="false"/>
                <w:iCs w:val="false"/>
                <w:strike w:val="false"/>
                <w:dstrike w:val="false"/>
                <w:outline w:val="false"/>
                <w:shadow w:val="false"/>
                <w:color w:val="000000"/>
                <w:sz w:val="22"/>
                <w:szCs w:val="22"/>
                <w:u w:val="none"/>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p>
            <w:pPr>
              <w:pStyle w:val="Estiloparrafos"/>
              <w:bidi w:val="0"/>
              <w:spacing w:before="360" w:after="120"/>
              <w:ind w:left="567" w:right="0" w:hanging="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CE.FQ.6</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1.2. Resolver problemas fisicoquímicos planteados a partir de situaciones cotidianas, aplicando las leyes y teorías científicas para encontrar y argumentar las soluciones, expresando adecuadamente los resultados.</w:t>
            </w:r>
          </w:p>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1.3. Identificar situaciones problemáticas en el entorno cotidiano, emprender iniciativas y buscar soluciones sostenibles desde la Física y la Química, analizando críticamente el impacto producido en la sociedad y el medioambiente.</w:t>
            </w:r>
          </w:p>
          <w:p>
            <w:pPr>
              <w:pStyle w:val="Normal"/>
              <w:widowControl/>
              <w:spacing w:lineRule="auto" w:line="240" w:before="0" w:after="0"/>
              <w:jc w:val="left"/>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pPr>
            <w:r>
              <w:rPr>
                <w:b/>
                <w:bCs/>
                <w:i w:val="false"/>
                <w:iCs w:val="false"/>
                <w:strike w:val="false"/>
                <w:dstrike w:val="false"/>
                <w:outline w:val="false"/>
                <w:shadow w:val="false"/>
                <w:color w:val="000000"/>
                <w:sz w:val="22"/>
                <w:szCs w:val="22"/>
                <w:u w:val="none"/>
              </w:rPr>
              <w:t>Pruebas escritas.</w:t>
            </w:r>
          </w:p>
          <w:p>
            <w:pPr>
              <w:pStyle w:val="Contenidodelatabla"/>
              <w:jc w:val="center"/>
              <w:rPr/>
            </w:pPr>
            <w:r>
              <w:rPr>
                <w:b/>
                <w:bCs/>
                <w:i w:val="false"/>
                <w:iCs w:val="false"/>
                <w:strike w:val="false"/>
                <w:dstrike w:val="false"/>
                <w:outline w:val="false"/>
                <w:shadow w:val="false"/>
                <w:color w:val="000000"/>
                <w:sz w:val="22"/>
                <w:szCs w:val="22"/>
                <w:u w:val="none"/>
              </w:rPr>
              <w:t>Simulaciones en laboratorios virtuales.</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Bloque 7:</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ENERGíA</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pPr>
            <w:r>
              <w:rPr>
                <w:rFonts w:ascii="Calibri" w:hAnsi="Calibri"/>
                <w:sz w:val="22"/>
                <w:szCs w:val="22"/>
                <w:lang w:val="es-ES"/>
              </w:rPr>
              <w:t>La energía y los cambios; concepto de energía, energía, trabajo y calor: primera ley de la termodinámica.</w:t>
            </w:r>
          </w:p>
          <w:p>
            <w:pPr>
              <w:pStyle w:val="Estiloparrafos"/>
              <w:numPr>
                <w:ilvl w:val="0"/>
                <w:numId w:val="2"/>
              </w:numPr>
              <w:bidi w:val="0"/>
              <w:spacing w:before="0" w:after="60"/>
              <w:ind w:left="284" w:right="0" w:hanging="142"/>
              <w:rPr/>
            </w:pPr>
            <w:r>
              <w:rPr>
                <w:rFonts w:ascii="Calibri" w:hAnsi="Calibri"/>
                <w:sz w:val="22"/>
                <w:szCs w:val="22"/>
                <w:lang w:val="es-ES"/>
              </w:rPr>
              <w:t>Trabajo; definición de trabajo; cálculo gráfico del trabajo.</w:t>
            </w:r>
          </w:p>
          <w:p>
            <w:pPr>
              <w:pStyle w:val="Estiloparrafos"/>
              <w:numPr>
                <w:ilvl w:val="0"/>
                <w:numId w:val="2"/>
              </w:numPr>
              <w:bidi w:val="0"/>
              <w:spacing w:before="0" w:after="60"/>
              <w:ind w:left="284" w:right="0" w:hanging="142"/>
              <w:rPr/>
            </w:pPr>
            <w:r>
              <w:rPr>
                <w:rFonts w:ascii="Calibri" w:hAnsi="Calibri"/>
                <w:sz w:val="22"/>
                <w:szCs w:val="22"/>
                <w:lang w:val="es-ES"/>
              </w:rPr>
              <w:t>Trabajo y energía cinética, la energía cinética; teorema de la energía cinética; la energía cinética y la distancia de frenado.</w:t>
            </w:r>
          </w:p>
          <w:p>
            <w:pPr>
              <w:pStyle w:val="Estiloparrafos"/>
              <w:numPr>
                <w:ilvl w:val="0"/>
                <w:numId w:val="2"/>
              </w:numPr>
              <w:bidi w:val="0"/>
              <w:spacing w:before="0" w:after="60"/>
              <w:ind w:left="284" w:right="0" w:hanging="142"/>
              <w:rPr/>
            </w:pPr>
            <w:r>
              <w:rPr>
                <w:rFonts w:ascii="Calibri" w:hAnsi="Calibri"/>
                <w:sz w:val="22"/>
                <w:szCs w:val="22"/>
                <w:lang w:val="es-ES"/>
              </w:rPr>
              <w:t>Trabajo y energía potencial; energía potencial gravitatoria, el trabajo y la energía potencial gravitatoria.</w:t>
            </w:r>
          </w:p>
          <w:p>
            <w:pPr>
              <w:pStyle w:val="Estiloparrafos"/>
              <w:numPr>
                <w:ilvl w:val="0"/>
                <w:numId w:val="2"/>
              </w:numPr>
              <w:bidi w:val="0"/>
              <w:spacing w:before="0" w:after="60"/>
              <w:ind w:left="284" w:right="0" w:hanging="142"/>
              <w:jc w:val="left"/>
              <w:rPr/>
            </w:pPr>
            <w:r>
              <w:rPr>
                <w:rFonts w:ascii="Calibri" w:hAnsi="Calibri"/>
                <w:b w:val="false"/>
                <w:bCs w:val="false"/>
                <w:i w:val="false"/>
                <w:iCs w:val="false"/>
                <w:strike w:val="false"/>
                <w:dstrike w:val="false"/>
                <w:outline w:val="false"/>
                <w:shadow w:val="false"/>
                <w:color w:val="000000"/>
                <w:sz w:val="22"/>
                <w:szCs w:val="22"/>
                <w:u w:val="none"/>
                <w:lang w:val="es-ES"/>
              </w:rPr>
              <w:t>Principio de conservación de la energía mecánica, principio de conservación de la energía cuando actúan fuerzas conservativas y no conservativas.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Refuerzo</w:t>
            </w:r>
          </w:p>
        </w:tc>
        <w:tc>
          <w:tcPr>
            <w:tcW w:w="7715" w:type="dxa"/>
            <w:gridSpan w:val="5"/>
            <w:tcBorders>
              <w:left w:val="single" w:sz="4" w:space="0" w:color="000000"/>
              <w:bottom w:val="single" w:sz="4" w:space="0" w:color="000000"/>
              <w:right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eastAsia="Calibri"/>
          <w:color w:val="C9211E"/>
          <w:kern w:val="0"/>
          <w:sz w:val="22"/>
          <w:szCs w:val="22"/>
          <w:u w:val="none"/>
          <w:lang w:val="es-ES" w:eastAsia="en-US" w:bidi="ar-SA"/>
        </w:rPr>
      </w:pPr>
      <w:r>
        <w:rPr>
          <w:rFonts w:eastAsia="Calibri" w:ascii="Calibri" w:hAnsi="Calibri"/>
          <w:color w:val="C9211E"/>
          <w:kern w:val="0"/>
          <w:sz w:val="22"/>
          <w:szCs w:val="22"/>
          <w:u w:val="none"/>
          <w:lang w:val="es-ES" w:eastAsia="en-US" w:bidi="ar-SA"/>
        </w:rPr>
      </w:r>
    </w:p>
    <w:tbl>
      <w:tblPr>
        <w:tblW w:w="9645" w:type="dxa"/>
        <w:jc w:val="left"/>
        <w:tblInd w:w="0" w:type="dxa"/>
        <w:tblCellMar>
          <w:top w:w="55" w:type="dxa"/>
          <w:left w:w="55" w:type="dxa"/>
          <w:bottom w:w="55" w:type="dxa"/>
          <w:right w:w="55" w:type="dxa"/>
        </w:tblCellMar>
      </w:tblPr>
      <w:tblGrid>
        <w:gridCol w:w="1929"/>
        <w:gridCol w:w="1409"/>
        <w:gridCol w:w="3"/>
        <w:gridCol w:w="3122"/>
        <w:gridCol w:w="759"/>
        <w:gridCol w:w="2422"/>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TÍTULO:  Fuerzas y energía</w:t>
            </w:r>
          </w:p>
        </w:tc>
      </w:tr>
      <w:tr>
        <w:trPr/>
        <w:tc>
          <w:tcPr>
            <w:tcW w:w="192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Trimestre: 3º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Temporalización: junio</w:t>
            </w:r>
          </w:p>
        </w:tc>
        <w:tc>
          <w:tcPr>
            <w:tcW w:w="2422"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pPr>
            <w:r>
              <w:rPr>
                <w:b/>
                <w:bCs/>
                <w:i w:val="false"/>
                <w:iCs w:val="false"/>
                <w:strike w:val="false"/>
                <w:dstrike w:val="false"/>
                <w:outline w:val="false"/>
                <w:shadow w:val="false"/>
                <w:color w:val="000000"/>
                <w:sz w:val="22"/>
                <w:szCs w:val="22"/>
                <w:u w:val="none"/>
              </w:rPr>
              <w:t>Sesiones:10</w:t>
            </w:r>
          </w:p>
        </w:tc>
      </w:tr>
      <w:tr>
        <w:trPr>
          <w:trHeight w:val="684" w:hRule="atLeast"/>
        </w:trPr>
        <w:tc>
          <w:tcPr>
            <w:tcW w:w="1929" w:type="dxa"/>
            <w:tcBorders>
              <w:left w:val="single" w:sz="4" w:space="0" w:color="000000"/>
              <w:bottom w:val="single" w:sz="4" w:space="0" w:color="000000"/>
            </w:tcBorders>
            <w:shd w:fill="auto" w:val="clear"/>
          </w:tcPr>
          <w:p>
            <w:pPr>
              <w:pStyle w:val="Contenidodelatabla"/>
              <w:spacing w:before="0" w:after="200"/>
              <w:jc w:val="center"/>
              <w:rPr/>
            </w:pPr>
            <w:r>
              <w:rPr>
                <w:b/>
                <w:bCs/>
                <w:i w:val="false"/>
                <w:iCs w:val="false"/>
                <w:strike w:val="false"/>
                <w:dstrike w:val="false"/>
                <w:outline w:val="false"/>
                <w:shadow w:val="false"/>
                <w:color w:val="000000"/>
                <w:sz w:val="22"/>
                <w:szCs w:val="22"/>
                <w:u w:val="none"/>
              </w:rPr>
              <w:t>Competencias específicas</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 xml:space="preserve">CE.FQ.3 </w:t>
            </w:r>
          </w:p>
          <w:p>
            <w:pPr>
              <w:pStyle w:val="Estiloparrafos"/>
              <w:bidi w:val="0"/>
              <w:spacing w:before="240" w:after="120"/>
              <w:jc w:val="center"/>
              <w:rPr/>
            </w:pPr>
            <w:r>
              <w:rPr>
                <w:rFonts w:ascii="Calibri" w:hAnsi="Calibri"/>
                <w:b/>
                <w:bCs/>
                <w:i w:val="false"/>
                <w:iCs w:val="false"/>
                <w:strike w:val="false"/>
                <w:dstrike w:val="false"/>
                <w:outline w:val="false"/>
                <w:shadow w:val="false"/>
                <w:color w:val="000000"/>
                <w:sz w:val="22"/>
                <w:szCs w:val="22"/>
                <w:u w:val="none"/>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CE.FQ.4</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p>
            <w:pPr>
              <w:pStyle w:val="Estiloparrafos"/>
              <w:bidi w:val="0"/>
              <w:spacing w:before="240" w:after="120"/>
              <w:jc w:val="center"/>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CE.FQ.6</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pPr>
            <w:r>
              <w:rPr>
                <w:b/>
                <w:bCs/>
                <w:i w:val="false"/>
                <w:iCs w:val="false"/>
                <w:strike w:val="false"/>
                <w:dstrike w:val="false"/>
                <w:outline w:val="false"/>
                <w:shadow w:val="false"/>
                <w:color w:val="000000"/>
                <w:sz w:val="22"/>
                <w:szCs w:val="22"/>
                <w:u w:val="none"/>
              </w:rPr>
              <w:t>Pruebas escritas.</w:t>
            </w:r>
          </w:p>
          <w:p>
            <w:pPr>
              <w:pStyle w:val="Contenidodelatabla"/>
              <w:jc w:val="center"/>
              <w:rPr/>
            </w:pPr>
            <w:r>
              <w:rPr>
                <w:b/>
                <w:bCs/>
                <w:i w:val="false"/>
                <w:iCs w:val="false"/>
                <w:strike w:val="false"/>
                <w:dstrike w:val="false"/>
                <w:outline w:val="false"/>
                <w:shadow w:val="false"/>
                <w:color w:val="000000"/>
                <w:sz w:val="22"/>
                <w:szCs w:val="22"/>
                <w:u w:val="none"/>
              </w:rPr>
              <w:t>Simulaciones en laboratorios virtuales.</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Bloque 7:</w:t>
            </w:r>
          </w:p>
          <w:p>
            <w:pPr>
              <w:pStyle w:val="Contenidodelatabla"/>
              <w:spacing w:before="0" w:after="200"/>
              <w:jc w:val="center"/>
              <w:rPr/>
            </w:pPr>
            <w:r>
              <w:rPr>
                <w:b/>
                <w:bCs/>
                <w:i w:val="false"/>
                <w:iCs w:val="false"/>
                <w:strike w:val="false"/>
                <w:dstrike w:val="false"/>
                <w:outline w:val="false"/>
                <w:shadow w:val="false"/>
                <w:color w:val="000000"/>
                <w:sz w:val="22"/>
                <w:szCs w:val="22"/>
                <w:u w:val="none"/>
              </w:rPr>
              <w:t>ENERGÍA</w:t>
            </w:r>
          </w:p>
        </w:tc>
        <w:tc>
          <w:tcPr>
            <w:tcW w:w="7715"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pPr>
            <w:r>
              <w:rPr>
                <w:rFonts w:ascii="Calibri" w:hAnsi="Calibri"/>
                <w:sz w:val="22"/>
                <w:szCs w:val="22"/>
                <w:lang w:val="es-ES"/>
              </w:rPr>
              <w:t>Fuerza elástica y energía; energía potencial elástica de un oscilador; energía cinética de un oscilador armónico; energía mecánica de un oscilador armónico; dependencia temporal de la energía del oscilador.</w:t>
            </w:r>
          </w:p>
          <w:p>
            <w:pPr>
              <w:pStyle w:val="Estiloparrafos"/>
              <w:numPr>
                <w:ilvl w:val="0"/>
                <w:numId w:val="2"/>
              </w:numPr>
              <w:bidi w:val="0"/>
              <w:spacing w:before="0" w:after="60"/>
              <w:ind w:left="284" w:right="0" w:hanging="142"/>
              <w:rPr/>
            </w:pPr>
            <w:r>
              <w:rPr>
                <w:rFonts w:ascii="Calibri" w:hAnsi="Calibri"/>
                <w:sz w:val="22"/>
                <w:szCs w:val="22"/>
                <w:lang w:val="es-ES"/>
              </w:rPr>
              <w:t>Fuerza eléctrica y energía; la energía potencial electrostática; potencial electrostático; acelerador de partículas.</w:t>
            </w:r>
          </w:p>
          <w:p>
            <w:pPr>
              <w:pStyle w:val="Estiloparrafos"/>
              <w:numPr>
                <w:ilvl w:val="0"/>
                <w:numId w:val="2"/>
              </w:numPr>
              <w:bidi w:val="0"/>
              <w:spacing w:before="0" w:after="60"/>
              <w:ind w:left="284" w:right="0" w:hanging="142"/>
              <w:jc w:val="left"/>
              <w:rPr/>
            </w:pPr>
            <w:r>
              <w:rPr>
                <w:rFonts w:ascii="Calibri" w:hAnsi="Calibri"/>
                <w:b w:val="false"/>
                <w:bCs w:val="false"/>
                <w:i w:val="false"/>
                <w:iCs w:val="false"/>
                <w:strike w:val="false"/>
                <w:dstrike w:val="false"/>
                <w:outline w:val="false"/>
                <w:shadow w:val="false"/>
                <w:color w:val="000000"/>
                <w:sz w:val="22"/>
                <w:szCs w:val="22"/>
                <w:u w:val="none"/>
                <w:lang w:val="es-ES"/>
              </w:rPr>
              <w:t>Fuerza gravitatoria y energía; energía potencial gravitatoria; energía mecánica total.</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29" w:type="dxa"/>
            <w:tcBorders>
              <w:left w:val="single" w:sz="4" w:space="0" w:color="000000"/>
              <w:bottom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Refuerzo</w:t>
            </w:r>
          </w:p>
        </w:tc>
        <w:tc>
          <w:tcPr>
            <w:tcW w:w="7715" w:type="dxa"/>
            <w:gridSpan w:val="5"/>
            <w:tcBorders>
              <w:left w:val="single" w:sz="4" w:space="0" w:color="000000"/>
              <w:bottom w:val="single" w:sz="4" w:space="0" w:color="000000"/>
              <w:right w:val="single" w:sz="4" w:space="0" w:color="000000"/>
            </w:tcBorders>
            <w:shd w:fill="auto" w:val="clear"/>
          </w:tcPr>
          <w:p>
            <w:pPr>
              <w:pStyle w:val="Contenidodelatabla"/>
              <w:jc w:val="left"/>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jc w:val="both"/>
        <w:rPr>
          <w:rFonts w:ascii="Cambria" w:hAnsi="Cambria" w:eastAsia="Cambria" w:cs="Cambria"/>
          <w:b/>
          <w:b/>
          <w:u w:val="single"/>
        </w:rPr>
      </w:pPr>
      <w:r>
        <w:rPr>
          <w:rFonts w:eastAsia="Cambria" w:cs="Cambria" w:ascii="Cambria" w:hAnsi="Cambria"/>
          <w:b/>
          <w:u w:val="single"/>
        </w:rPr>
      </w:r>
    </w:p>
    <w:p>
      <w:pPr>
        <w:pStyle w:val="Normal"/>
        <w:jc w:val="both"/>
        <w:rPr/>
      </w:pPr>
      <w:r>
        <w:rPr>
          <w:rFonts w:eastAsia="Cambria" w:cs="Cambria" w:ascii="Cambria" w:hAnsi="Cambria"/>
          <w:b/>
          <w:u w:val="single"/>
        </w:rPr>
        <w:t xml:space="preserve">La secuneciasción de los unidades sera: </w:t>
      </w:r>
    </w:p>
    <w:p>
      <w:pPr>
        <w:pStyle w:val="Normal"/>
        <w:jc w:val="both"/>
        <w:rPr/>
      </w:pPr>
      <w:r>
        <w:rPr>
          <w:rFonts w:eastAsia="Cambria" w:cs="Cambria" w:ascii="Cambria" w:hAnsi="Cambria"/>
          <w:b/>
          <w:u w:val="single"/>
        </w:rPr>
        <w:t xml:space="preserve">Primer trimestre: </w:t>
      </w:r>
      <w:r>
        <w:rPr>
          <w:rFonts w:eastAsia="Cambria" w:cs="Cambria" w:ascii="Cambria" w:hAnsi="Cambria"/>
          <w:b w:val="false"/>
          <w:bCs w:val="false"/>
          <w:u w:val="none"/>
        </w:rPr>
        <w:t xml:space="preserve"> Estructura atómica + sistema periódico y enlace,;  Disoluciones+leyes ponderales + Gases y propiedades colicuativas; Formulación inorgánica</w:t>
      </w:r>
    </w:p>
    <w:p>
      <w:pPr>
        <w:pStyle w:val="Normal"/>
        <w:jc w:val="both"/>
        <w:rPr/>
      </w:pPr>
      <w:r>
        <w:rPr>
          <w:rFonts w:eastAsia="Cambria" w:cs="Cambria" w:ascii="Cambria" w:hAnsi="Cambria"/>
          <w:b/>
          <w:bCs/>
          <w:u w:val="single"/>
        </w:rPr>
        <w:t xml:space="preserve">Segundo trimestre: </w:t>
      </w:r>
      <w:r>
        <w:rPr>
          <w:rFonts w:eastAsia="Cambria" w:cs="Cambria" w:ascii="Cambria" w:hAnsi="Cambria"/>
          <w:b w:val="false"/>
          <w:bCs w:val="false"/>
          <w:u w:val="none"/>
        </w:rPr>
        <w:t xml:space="preserve">Estequimetria; Química del Carbono;  Movimiento </w:t>
      </w:r>
    </w:p>
    <w:p>
      <w:pPr>
        <w:pStyle w:val="Normal"/>
        <w:jc w:val="both"/>
        <w:rPr/>
      </w:pPr>
      <w:r>
        <w:rPr>
          <w:rFonts w:eastAsia="Cambria" w:cs="Cambria" w:ascii="Cambria" w:hAnsi="Cambria"/>
          <w:b/>
          <w:bCs/>
          <w:u w:val="single"/>
        </w:rPr>
        <w:t>Tercer trimestre:</w:t>
      </w:r>
      <w:r>
        <w:rPr>
          <w:rFonts w:eastAsia="Cambria" w:cs="Cambria" w:ascii="Cambria" w:hAnsi="Cambria"/>
          <w:b w:val="false"/>
          <w:bCs w:val="false"/>
          <w:u w:val="none"/>
        </w:rPr>
        <w:t xml:space="preserve">  Dinámica, Energía y trabajo. </w:t>
      </w:r>
    </w:p>
    <w:p>
      <w:pPr>
        <w:pStyle w:val="Normal"/>
        <w:jc w:val="both"/>
        <w:rPr/>
      </w:pPr>
      <w:r>
        <w:rPr>
          <w:rFonts w:eastAsia="Cambria" w:cs="Cambria" w:ascii="Cambria" w:hAnsi="Cambria"/>
          <w:b/>
          <w:u w:val="single"/>
        </w:rPr>
        <w:t>3. PROCEDIMIENTOS E INSTRUMENTOS DE EVALUACIÓN</w:t>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Estiloparrafos"/>
        <w:bidi w:val="0"/>
        <w:spacing w:before="0" w:after="120"/>
        <w:rPr/>
      </w:pPr>
      <w:r>
        <w:rPr>
          <w:rFonts w:ascii="Calibri" w:hAnsi="Calibri"/>
          <w:sz w:val="22"/>
          <w:szCs w:val="22"/>
        </w:rPr>
        <w:t>Por medio de los procedimientos evaluaremos, no solo al alumno, sino también la actividad educativa que se desarrolla en el aula, así como todos los elementos que integran el proceso de enseñanza-aprendizaje.</w:t>
      </w:r>
    </w:p>
    <w:p>
      <w:pPr>
        <w:pStyle w:val="Estiloparrafos"/>
        <w:bidi w:val="0"/>
        <w:spacing w:before="0" w:after="120"/>
        <w:rPr/>
      </w:pPr>
      <w:r>
        <w:rPr>
          <w:rFonts w:ascii="Calibri" w:hAnsi="Calibri"/>
          <w:sz w:val="22"/>
          <w:szCs w:val="22"/>
        </w:rPr>
        <w:t>De esta manera las actividades de evaluación servirán para conocer la adecuación del proceso educativo a las características del alumno (evaluación continua), y ajustar la ayuda pedagógica a sus necesidades reales (evaluación formativa); y conocer, en definitiva, el nivel de desarrollo intelectual y personal alcanzado por el alumno, en todos sus aspectos, y como resultado de la intervención educativa (evaluación integradora).</w:t>
      </w:r>
    </w:p>
    <w:p>
      <w:pPr>
        <w:pStyle w:val="Estiloparrafos"/>
        <w:bidi w:val="0"/>
        <w:spacing w:before="0" w:after="120"/>
        <w:rPr/>
      </w:pPr>
      <w:r>
        <w:rPr>
          <w:rFonts w:ascii="Calibri" w:hAnsi="Calibri"/>
          <w:sz w:val="22"/>
          <w:szCs w:val="22"/>
        </w:rPr>
        <w:t xml:space="preserve">Los </w:t>
      </w:r>
      <w:r>
        <w:rPr>
          <w:rFonts w:ascii="Calibri" w:hAnsi="Calibri"/>
          <w:b/>
          <w:bCs/>
          <w:sz w:val="22"/>
          <w:szCs w:val="22"/>
        </w:rPr>
        <w:t>instrumentos de evaluación</w:t>
      </w:r>
      <w:r>
        <w:rPr>
          <w:rFonts w:ascii="Calibri" w:hAnsi="Calibri"/>
          <w:sz w:val="22"/>
          <w:szCs w:val="22"/>
        </w:rPr>
        <w:t xml:space="preserve"> que utilizaremos son los siguientes:</w:t>
      </w:r>
    </w:p>
    <w:p>
      <w:pPr>
        <w:pStyle w:val="Estiloparrafos"/>
        <w:numPr>
          <w:ilvl w:val="0"/>
          <w:numId w:val="2"/>
        </w:numPr>
        <w:bidi w:val="0"/>
        <w:spacing w:before="0" w:after="120"/>
        <w:ind w:left="567" w:right="0" w:hanging="360"/>
        <w:rPr/>
      </w:pPr>
      <w:r>
        <w:rPr>
          <w:rFonts w:ascii="Calibri" w:hAnsi="Calibri"/>
          <w:sz w:val="22"/>
          <w:szCs w:val="22"/>
        </w:rPr>
        <w:t>Observación sistemática del trabajo diario (atención, participación, colaboración y respeto a los demás y a los materiales).</w:t>
      </w:r>
    </w:p>
    <w:p>
      <w:pPr>
        <w:pStyle w:val="Estiloparrafos"/>
        <w:numPr>
          <w:ilvl w:val="0"/>
          <w:numId w:val="2"/>
        </w:numPr>
        <w:bidi w:val="0"/>
        <w:spacing w:before="0" w:after="120"/>
        <w:ind w:left="567" w:right="0" w:hanging="360"/>
        <w:rPr/>
      </w:pPr>
      <w:r>
        <w:rPr>
          <w:rFonts w:ascii="Calibri" w:hAnsi="Calibri"/>
          <w:sz w:val="22"/>
          <w:szCs w:val="22"/>
        </w:rPr>
        <w:t xml:space="preserve">Informes de prácticas de laboratorio </w:t>
      </w:r>
    </w:p>
    <w:p>
      <w:pPr>
        <w:pStyle w:val="Estiloparrafos"/>
        <w:numPr>
          <w:ilvl w:val="0"/>
          <w:numId w:val="2"/>
        </w:numPr>
        <w:bidi w:val="0"/>
        <w:spacing w:before="0" w:after="120"/>
        <w:ind w:left="567" w:right="0" w:hanging="360"/>
        <w:rPr/>
      </w:pPr>
      <w:r>
        <w:rPr>
          <w:rFonts w:ascii="Calibri" w:hAnsi="Calibri"/>
          <w:sz w:val="22"/>
          <w:szCs w:val="22"/>
        </w:rPr>
        <w:t>Trabajos: realizacion de ejercicios en clase, cuestionarios …...</w:t>
      </w:r>
    </w:p>
    <w:p>
      <w:pPr>
        <w:pStyle w:val="Estiloparrafos"/>
        <w:numPr>
          <w:ilvl w:val="0"/>
          <w:numId w:val="2"/>
        </w:numPr>
        <w:bidi w:val="0"/>
        <w:spacing w:before="0" w:after="120"/>
        <w:ind w:left="567" w:right="0" w:hanging="360"/>
        <w:rPr/>
      </w:pPr>
      <w:r>
        <w:rPr>
          <w:rFonts w:ascii="Calibri" w:hAnsi="Calibri"/>
          <w:sz w:val="22"/>
          <w:szCs w:val="22"/>
          <w:u w:val="single"/>
        </w:rPr>
        <w:t xml:space="preserve">Exámenes </w:t>
      </w:r>
    </w:p>
    <w:p>
      <w:pPr>
        <w:pStyle w:val="Estiloparrafos"/>
        <w:bidi w:val="0"/>
        <w:spacing w:before="0" w:after="120"/>
        <w:ind w:left="567" w:right="0" w:hanging="0"/>
        <w:rPr/>
      </w:pPr>
      <w:r>
        <w:rPr>
          <w:rFonts w:ascii="Calibri" w:hAnsi="Calibri"/>
          <w:sz w:val="22"/>
          <w:szCs w:val="22"/>
        </w:rPr>
        <w:t xml:space="preserve">Las pruebas podrán contener problemas, cuestiones de respuesta concreta, de verdadero-falso, de relacionar conceptos y de interpretación de datos. Se podrá incluir algún texto científico con preguntas sobre lo que han leído. </w:t>
      </w:r>
    </w:p>
    <w:p>
      <w:pPr>
        <w:pStyle w:val="Estiloparrafos"/>
        <w:bidi w:val="0"/>
        <w:spacing w:before="0" w:after="120"/>
        <w:ind w:left="567" w:right="0" w:hanging="0"/>
        <w:rPr/>
      </w:pPr>
      <w:r>
        <w:rPr>
          <w:rFonts w:ascii="Calibri" w:hAnsi="Calibri"/>
          <w:sz w:val="22"/>
          <w:szCs w:val="22"/>
        </w:rPr>
        <w:t xml:space="preserve">Está previsto realizar dos pruebas escritas por evaluación. </w:t>
      </w:r>
    </w:p>
    <w:p>
      <w:pPr>
        <w:pStyle w:val="Estiloparrafos"/>
        <w:bidi w:val="0"/>
        <w:spacing w:before="0" w:after="120"/>
        <w:ind w:left="567" w:right="0" w:hanging="0"/>
        <w:rPr/>
      </w:pPr>
      <w:r>
        <w:rPr>
          <w:rFonts w:ascii="Calibri" w:hAnsi="Calibri"/>
          <w:color w:val="000000"/>
          <w:sz w:val="22"/>
          <w:szCs w:val="22"/>
        </w:rPr>
        <w:t>Si un alumno falta el día del examen se le repetirá el examen si entrega un justificante. Sino su nota sera de 0.</w:t>
      </w:r>
    </w:p>
    <w:p>
      <w:pPr>
        <w:pStyle w:val="Estiloparrafos"/>
        <w:bidi w:val="0"/>
        <w:spacing w:before="0" w:after="120"/>
        <w:ind w:left="567" w:right="0" w:hanging="0"/>
        <w:rPr/>
      </w:pPr>
      <w:r>
        <w:rPr>
          <w:rFonts w:ascii="Calibri" w:hAnsi="Calibri"/>
          <w:color w:val="000000"/>
          <w:sz w:val="22"/>
          <w:szCs w:val="22"/>
        </w:rPr>
        <w:t xml:space="preserve">Si durante la realización de una examen un alumno, copia, habla, saca un dispositivo electrónico….La nota de ese examen sera 0. </w:t>
      </w:r>
    </w:p>
    <w:p>
      <w:pPr>
        <w:pStyle w:val="Estiloparrafos"/>
        <w:bidi w:val="0"/>
        <w:spacing w:before="120" w:after="120"/>
        <w:ind w:left="567" w:right="0" w:hanging="0"/>
        <w:jc w:val="both"/>
        <w:rPr>
          <w:rFonts w:ascii="Cambria" w:hAnsi="Cambria" w:eastAsia="Cambria" w:cs="Cambria"/>
        </w:rPr>
      </w:pPr>
      <w:r>
        <w:rPr>
          <w:rFonts w:eastAsia="Cambria" w:cs="Cambria" w:ascii="Cambria" w:hAnsi="Cambria"/>
        </w:rPr>
      </w:r>
    </w:p>
    <w:p>
      <w:pPr>
        <w:pStyle w:val="Normal"/>
        <w:jc w:val="both"/>
        <w:rPr/>
      </w:pPr>
      <w:r>
        <w:rPr>
          <w:rFonts w:eastAsia="Cambria" w:cs="Cambria" w:ascii="Cambria" w:hAnsi="Cambria"/>
          <w:b/>
          <w:u w:val="single"/>
        </w:rPr>
        <w:t>4. CRITERIOS DE CALIFICACIÓN</w:t>
      </w:r>
    </w:p>
    <w:p>
      <w:pPr>
        <w:pStyle w:val="Normal"/>
        <w:jc w:val="both"/>
        <w:rPr>
          <w:rFonts w:ascii="Calibri" w:hAnsi="Calibri"/>
          <w:sz w:val="22"/>
          <w:szCs w:val="22"/>
        </w:rPr>
      </w:pPr>
      <w:r>
        <w:rPr>
          <w:sz w:val="22"/>
          <w:szCs w:val="22"/>
        </w:rPr>
      </w:r>
    </w:p>
    <w:p>
      <w:pPr>
        <w:pStyle w:val="Normal"/>
        <w:rPr/>
      </w:pPr>
      <w:r>
        <w:rPr>
          <w:sz w:val="22"/>
          <w:szCs w:val="22"/>
        </w:rPr>
        <w:t>1. Teniendo en cuenta los procedimientos e instrumentos de evaluación indicados</w:t>
      </w:r>
    </w:p>
    <w:p>
      <w:pPr>
        <w:pStyle w:val="Normal"/>
        <w:rPr/>
      </w:pPr>
      <w:r>
        <w:rPr>
          <w:sz w:val="22"/>
          <w:szCs w:val="22"/>
        </w:rPr>
        <w:t>anteriormente en esta programación, se indican a continuación los criterios de calificación</w:t>
      </w:r>
    </w:p>
    <w:p>
      <w:pPr>
        <w:pStyle w:val="Normal"/>
        <w:rPr/>
      </w:pPr>
      <w:r>
        <w:rPr>
          <w:sz w:val="22"/>
          <w:szCs w:val="22"/>
        </w:rPr>
        <w:t>que se van a utilizar para este curso para obtener la calificación final de cada evaluación:</w:t>
      </w:r>
    </w:p>
    <w:p>
      <w:pPr>
        <w:pStyle w:val="Normal"/>
        <w:rPr/>
      </w:pPr>
      <w:r>
        <w:rPr>
          <w:sz w:val="22"/>
          <w:szCs w:val="22"/>
        </w:rPr>
        <w:t>a) La media aritmética ponderada de la nota obtenida en los exámenes que se realicen a lo largo de la</w:t>
      </w:r>
    </w:p>
    <w:p>
      <w:pPr>
        <w:pStyle w:val="Normal"/>
        <w:rPr/>
      </w:pPr>
      <w:r>
        <w:rPr>
          <w:sz w:val="22"/>
          <w:szCs w:val="22"/>
        </w:rPr>
        <w:t>evaluación tendrá un peso del 90 % de la nota final.</w:t>
      </w:r>
    </w:p>
    <w:p>
      <w:pPr>
        <w:pStyle w:val="Normal"/>
        <w:rPr/>
      </w:pPr>
      <w:r>
        <w:rPr>
          <w:sz w:val="22"/>
          <w:szCs w:val="22"/>
        </w:rPr>
        <w:t>El examen de formulación se contabilizada para ser apto con un porcentaje del 80% de aciertos</w:t>
      </w:r>
    </w:p>
    <w:p>
      <w:pPr>
        <w:pStyle w:val="Normal"/>
        <w:rPr/>
      </w:pPr>
      <w:r>
        <w:rPr>
          <w:sz w:val="22"/>
          <w:szCs w:val="22"/>
        </w:rPr>
        <w:t>Se intentara como mínimo dos exámenes por evaluación. El contenido de estos exámenes se</w:t>
      </w:r>
    </w:p>
    <w:p>
      <w:pPr>
        <w:pStyle w:val="Normal"/>
        <w:rPr/>
      </w:pPr>
      <w:r>
        <w:rPr>
          <w:sz w:val="22"/>
          <w:szCs w:val="22"/>
        </w:rPr>
        <w:t>basará en los saberes y procedimientos expuestos en el libro de texto y podrán incluir</w:t>
      </w:r>
    </w:p>
    <w:p>
      <w:pPr>
        <w:pStyle w:val="Normal"/>
        <w:rPr/>
      </w:pPr>
      <w:r>
        <w:rPr>
          <w:sz w:val="22"/>
          <w:szCs w:val="22"/>
        </w:rPr>
        <w:t>actividades realizadas en clase y en laboratorio.</w:t>
      </w:r>
    </w:p>
    <w:p>
      <w:pPr>
        <w:pStyle w:val="Normal"/>
        <w:rPr/>
      </w:pPr>
      <w:r>
        <w:rPr>
          <w:sz w:val="22"/>
          <w:szCs w:val="22"/>
        </w:rPr>
        <w:t>Para hallar la contribución de los exámenes a la nota final de una evaluación, se hará la</w:t>
      </w:r>
    </w:p>
    <w:p>
      <w:pPr>
        <w:pStyle w:val="Normal"/>
        <w:rPr/>
      </w:pPr>
      <w:r>
        <w:rPr>
          <w:sz w:val="22"/>
          <w:szCs w:val="22"/>
        </w:rPr>
        <w:t xml:space="preserve">media ponderada de los exámenes realizados, . </w:t>
      </w:r>
    </w:p>
    <w:p>
      <w:pPr>
        <w:pStyle w:val="Normal"/>
        <w:rPr>
          <w:sz w:val="22"/>
          <w:szCs w:val="22"/>
        </w:rPr>
      </w:pPr>
      <w:r>
        <w:rPr>
          <w:sz w:val="22"/>
          <w:szCs w:val="22"/>
        </w:rPr>
      </w:r>
    </w:p>
    <w:p>
      <w:pPr>
        <w:pStyle w:val="Normal"/>
        <w:rPr/>
      </w:pPr>
      <w:r>
        <w:rPr>
          <w:sz w:val="22"/>
          <w:szCs w:val="22"/>
        </w:rPr>
        <w:t>b) El profesor supervisará el trabajo diario,  las tareas que se encarguen al</w:t>
      </w:r>
    </w:p>
    <w:p>
      <w:pPr>
        <w:pStyle w:val="Normal"/>
        <w:rPr/>
      </w:pPr>
      <w:r>
        <w:rPr>
          <w:sz w:val="22"/>
          <w:szCs w:val="22"/>
        </w:rPr>
        <w:t>alumno (incluyendo tanto los ejercicios propuestos en clase, como las tareas para casa o</w:t>
      </w:r>
    </w:p>
    <w:p>
      <w:pPr>
        <w:pStyle w:val="Normal"/>
        <w:rPr/>
      </w:pPr>
      <w:r>
        <w:rPr>
          <w:sz w:val="22"/>
          <w:szCs w:val="22"/>
        </w:rPr>
        <w:t>los informes de las prácticas de laboratorio).  La valoración de este apartado supondrá un</w:t>
      </w:r>
    </w:p>
    <w:p>
      <w:pPr>
        <w:pStyle w:val="Normal"/>
        <w:rPr/>
      </w:pPr>
      <w:r>
        <w:rPr>
          <w:sz w:val="22"/>
          <w:szCs w:val="22"/>
        </w:rPr>
        <w:t>10 % de la nota final. El porcentaje de cada una de las partes, variará en función del</w:t>
      </w:r>
    </w:p>
    <w:p>
      <w:pPr>
        <w:pStyle w:val="Normal"/>
        <w:rPr/>
      </w:pPr>
      <w:r>
        <w:rPr>
          <w:sz w:val="22"/>
          <w:szCs w:val="22"/>
        </w:rPr>
        <w:t>número de prácticas y/o trabajos que se hayan podido realizar.</w:t>
      </w:r>
    </w:p>
    <w:p>
      <w:pPr>
        <w:pStyle w:val="Normal"/>
        <w:rPr/>
      </w:pPr>
      <w:r>
        <w:rPr>
          <w:color w:val="auto"/>
          <w:sz w:val="22"/>
          <w:szCs w:val="22"/>
        </w:rPr>
        <w:t xml:space="preserve">2. La nota de las evaluaciones sera meramente informativa. Y se calculara haciendo la ponderación entre exámenes y trabajos. </w:t>
      </w:r>
    </w:p>
    <w:p>
      <w:pPr>
        <w:pStyle w:val="Normal"/>
        <w:rPr/>
      </w:pPr>
      <w:r>
        <w:rPr>
          <w:color w:val="auto"/>
          <w:sz w:val="22"/>
          <w:szCs w:val="22"/>
        </w:rPr>
        <w:t xml:space="preserve">La asignatura se divide en dos bloques Química y Física. </w:t>
      </w:r>
    </w:p>
    <w:p>
      <w:pPr>
        <w:pStyle w:val="Normal"/>
        <w:rPr/>
      </w:pPr>
      <w:r>
        <w:rPr>
          <w:color w:val="auto"/>
          <w:sz w:val="22"/>
          <w:szCs w:val="22"/>
        </w:rPr>
        <w:t>En cada uno de los bloques la nota sera: 90% la media  ponderara de cada examen dependiendo del numero de sesiones que se dedique a cada una. 10% del trabajo en cada una de las partes.  Y la nota final ordinaria  sera la media de los dos bloques</w:t>
      </w:r>
    </w:p>
    <w:p>
      <w:pPr>
        <w:pStyle w:val="Normal"/>
        <w:rPr/>
      </w:pPr>
      <w:r>
        <w:rPr>
          <w:color w:val="auto"/>
          <w:sz w:val="22"/>
          <w:szCs w:val="22"/>
        </w:rPr>
        <w:t xml:space="preserve">Después de cada bloque se realizara una recuperación de ese bloque , obligatoria para todos., y: </w:t>
      </w:r>
    </w:p>
    <w:p>
      <w:pPr>
        <w:pStyle w:val="Normal"/>
        <w:jc w:val="both"/>
        <w:rPr/>
      </w:pPr>
      <w:r>
        <w:rPr>
          <w:rFonts w:eastAsia="Cambria" w:cs="Cambria"/>
          <w:sz w:val="22"/>
          <w:szCs w:val="22"/>
        </w:rPr>
        <w:t></w:t>
      </w:r>
      <w:r>
        <w:rPr>
          <w:rFonts w:eastAsia="Cambria" w:cs="Cambria"/>
          <w:sz w:val="22"/>
          <w:szCs w:val="22"/>
        </w:rPr>
        <w:t>Si tiene el bloque suspenso, y  lo supera en el examen , quedando la nueva nota para ese bloque.</w:t>
      </w:r>
    </w:p>
    <w:p>
      <w:pPr>
        <w:pStyle w:val="Normal"/>
        <w:jc w:val="both"/>
        <w:rPr/>
      </w:pPr>
      <w:r>
        <w:rPr>
          <w:rFonts w:eastAsia="Cambria" w:cs="Cambria"/>
          <w:sz w:val="22"/>
          <w:szCs w:val="22"/>
        </w:rPr>
        <w:t xml:space="preserve"> </w:t>
      </w:r>
      <w:r>
        <w:rPr>
          <w:rFonts w:eastAsia="Cambria" w:cs="Cambria"/>
          <w:sz w:val="22"/>
          <w:szCs w:val="22"/>
        </w:rPr>
        <w:t>Mantener su calificación si obtienen una calificación igual o hasta 2 puntos inferior a la calificación original.</w:t>
      </w:r>
    </w:p>
    <w:p>
      <w:pPr>
        <w:pStyle w:val="Normal"/>
        <w:jc w:val="both"/>
        <w:rPr/>
      </w:pPr>
      <w:r>
        <w:rPr>
          <w:rFonts w:eastAsia="Cambria" w:cs="Cambria"/>
          <w:color w:val="auto"/>
          <w:sz w:val="22"/>
          <w:szCs w:val="22"/>
        </w:rPr>
        <w:t xml:space="preserve"> </w:t>
      </w:r>
      <w:r>
        <w:rPr>
          <w:rFonts w:eastAsia="Cambria" w:cs="Cambria"/>
          <w:color w:val="auto"/>
          <w:sz w:val="22"/>
          <w:szCs w:val="22"/>
        </w:rPr>
        <w:t>Aminorar su calificación si obtienen una calificación al menos 2 puntos inferior a la original. En este caso se hará la media de las dos calificaciones a la hora de asignar una nota a esa evaluación. Es preciso destacar que en el caso de alumnos/as que hubieran aprobado originalmente la evaluación, la nota media después de incorporar la calificación de esta prueba no podrá ser inferior a 5.</w:t>
      </w:r>
    </w:p>
    <w:p>
      <w:pPr>
        <w:pStyle w:val="Normal"/>
        <w:rPr/>
      </w:pPr>
      <w:r>
        <w:rPr>
          <w:color w:val="auto"/>
          <w:sz w:val="22"/>
          <w:szCs w:val="22"/>
        </w:rPr>
        <w:t>4. En los últimos días de curso, se realizará una recuperación final previa a la evaluación final</w:t>
      </w:r>
    </w:p>
    <w:p>
      <w:pPr>
        <w:pStyle w:val="Normal"/>
        <w:rPr/>
      </w:pPr>
      <w:r>
        <w:rPr>
          <w:color w:val="auto"/>
          <w:sz w:val="22"/>
          <w:szCs w:val="22"/>
        </w:rPr>
        <w:t>ordinaria. Los alumnos que tengan algún bloque  suspendida y que no puedan obtener</w:t>
      </w:r>
    </w:p>
    <w:p>
      <w:pPr>
        <w:pStyle w:val="Normal"/>
        <w:rPr/>
      </w:pPr>
      <w:r>
        <w:rPr>
          <w:color w:val="auto"/>
          <w:sz w:val="22"/>
          <w:szCs w:val="22"/>
        </w:rPr>
        <w:t>una calificación final de aprobado según el punto anterior, podrán examinarse sólo del bloque no superado.</w:t>
      </w:r>
    </w:p>
    <w:p>
      <w:pPr>
        <w:pStyle w:val="Normal"/>
        <w:rPr>
          <w:rFonts w:ascii="Calibri" w:hAnsi="Calibri"/>
          <w:color w:val="auto"/>
          <w:sz w:val="22"/>
          <w:szCs w:val="22"/>
        </w:rPr>
      </w:pPr>
      <w:r>
        <w:rPr>
          <w:color w:val="auto"/>
          <w:sz w:val="22"/>
          <w:szCs w:val="22"/>
        </w:rPr>
      </w:r>
    </w:p>
    <w:p>
      <w:pPr>
        <w:pStyle w:val="Cuerpodetexto"/>
        <w:bidi w:val="0"/>
        <w:spacing w:lineRule="auto" w:line="288" w:before="0" w:after="0"/>
        <w:rPr/>
      </w:pPr>
      <w:r>
        <w:rPr>
          <w:rFonts w:ascii="Calibri;sans-serif" w:hAnsi="Calibri;sans-serif"/>
          <w:b w:val="false"/>
          <w:i w:val="false"/>
          <w:caps w:val="false"/>
          <w:smallCaps w:val="false"/>
          <w:strike w:val="false"/>
          <w:dstrike w:val="false"/>
          <w:color w:val="auto"/>
          <w:sz w:val="22"/>
          <w:u w:val="none"/>
          <w:effect w:val="none"/>
        </w:rPr>
        <w:t>Los exámenes se diseñan  de tal forma que el 90% se reparta entre las competencias específicas 1, 2 y 3.1,  3.2  y 3.3 como se indica en este cuadro</w:t>
      </w:r>
    </w:p>
    <w:p>
      <w:pPr>
        <w:pStyle w:val="Cuerpodetexto"/>
        <w:rPr/>
      </w:pPr>
      <w:r>
        <w:rPr/>
      </w:r>
    </w:p>
    <w:p>
      <w:pPr>
        <w:pStyle w:val="Cuerpodetexto"/>
        <w:bidi w:val="0"/>
        <w:spacing w:lineRule="auto" w:line="288" w:before="0" w:after="0"/>
        <w:rPr/>
      </w:pPr>
      <w:r>
        <w:rPr>
          <w:caps w:val="false"/>
          <w:smallCaps w:val="false"/>
          <w:strike w:val="false"/>
          <w:dstrike w:val="false"/>
          <w:color w:val="EE0000"/>
          <w:u w:val="none"/>
          <w:effect w:val="none"/>
        </w:rPr>
        <w:t> </w:t>
      </w:r>
      <w:r>
        <w:rPr>
          <w:rFonts w:ascii="Calibri;sans-serif" w:hAnsi="Calibri;sans-serif"/>
          <w:b w:val="false"/>
          <w:i w:val="false"/>
          <w:caps w:val="false"/>
          <w:smallCaps w:val="false"/>
          <w:strike w:val="false"/>
          <w:dstrike w:val="false"/>
          <w:color w:val="auto"/>
          <w:sz w:val="22"/>
          <w:u w:val="none"/>
          <w:effect w:val="none"/>
        </w:rPr>
        <w:t xml:space="preserve">Las actividades que suponen el 10% estarán diseñadas para cumplir el reparto entre las competencias 3.3, 4, 5 y 6 como se indica en este cuadro. </w:t>
      </w:r>
      <w:r>
        <w:rPr>
          <w:rFonts w:ascii="Calibri;sans-serif" w:hAnsi="Calibri;sans-serif"/>
          <w:b w:val="false"/>
          <w:i w:val="false"/>
          <w:caps w:val="false"/>
          <w:smallCaps w:val="false"/>
          <w:strike w:val="false"/>
          <w:dstrike w:val="false"/>
          <w:color w:val="EE0000"/>
          <w:sz w:val="22"/>
          <w:u w:val="none"/>
          <w:effect w:val="none"/>
        </w:rPr>
        <w:t>. </w:t>
      </w:r>
    </w:p>
    <w:p>
      <w:pPr>
        <w:pStyle w:val="Cuerpodetexto"/>
        <w:spacing w:before="0" w:after="0"/>
        <w:rPr/>
      </w:pPr>
      <w:r>
        <w:rPr/>
      </w:r>
    </w:p>
    <w:tbl>
      <w:tblPr>
        <w:tblW w:w="8475" w:type="dxa"/>
        <w:jc w:val="left"/>
        <w:tblInd w:w="24" w:type="dxa"/>
        <w:tblCellMar>
          <w:top w:w="100" w:type="dxa"/>
          <w:left w:w="100" w:type="dxa"/>
          <w:bottom w:w="100" w:type="dxa"/>
          <w:right w:w="100" w:type="dxa"/>
        </w:tblCellMar>
      </w:tblPr>
      <w:tblGrid>
        <w:gridCol w:w="1933"/>
        <w:gridCol w:w="751"/>
        <w:gridCol w:w="2473"/>
        <w:gridCol w:w="3317"/>
      </w:tblGrid>
      <w:tr>
        <w:trPr/>
        <w:tc>
          <w:tcPr>
            <w:tcW w:w="193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COMPETENCIAS ESPECÍFICAS</w:t>
            </w:r>
          </w:p>
        </w:tc>
        <w:tc>
          <w:tcPr>
            <w:tcW w:w="75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w:t>
            </w:r>
          </w:p>
        </w:tc>
        <w:tc>
          <w:tcPr>
            <w:tcW w:w="247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rPr/>
            </w:pPr>
            <w:r>
              <w:rPr>
                <w:rFonts w:ascii="Calibri;sans-serif" w:hAnsi="Calibri;sans-serif"/>
                <w:b/>
                <w:i w:val="false"/>
                <w:caps w:val="false"/>
                <w:smallCaps w:val="false"/>
                <w:strike w:val="false"/>
                <w:dstrike w:val="false"/>
                <w:color w:val="000000"/>
                <w:sz w:val="22"/>
                <w:u w:val="none"/>
                <w:effect w:val="none"/>
              </w:rPr>
              <w:t>CRITERIOS DE EVALUACIÓN</w:t>
            </w:r>
          </w:p>
        </w:tc>
        <w:tc>
          <w:tcPr>
            <w:tcW w:w="3317"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INSTRUMENTOS DE EVALUACIÓN</w:t>
            </w:r>
          </w:p>
        </w:tc>
      </w:tr>
      <w:tr>
        <w:trPr/>
        <w:tc>
          <w:tcPr>
            <w:tcW w:w="193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1.</w:t>
            </w:r>
          </w:p>
        </w:tc>
        <w:tc>
          <w:tcPr>
            <w:tcW w:w="75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35%</w:t>
            </w:r>
          </w:p>
        </w:tc>
        <w:tc>
          <w:tcPr>
            <w:tcW w:w="247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1.1</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1.3 </w:t>
            </w:r>
          </w:p>
        </w:tc>
        <w:tc>
          <w:tcPr>
            <w:tcW w:w="3317"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3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FQ.2</w:t>
            </w:r>
          </w:p>
        </w:tc>
        <w:tc>
          <w:tcPr>
            <w:tcW w:w="75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30%</w:t>
            </w:r>
          </w:p>
        </w:tc>
        <w:tc>
          <w:tcPr>
            <w:tcW w:w="247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2.3.</w:t>
            </w:r>
          </w:p>
        </w:tc>
        <w:tc>
          <w:tcPr>
            <w:tcW w:w="3317"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3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FQ.3.</w:t>
            </w:r>
          </w:p>
        </w:tc>
        <w:tc>
          <w:tcPr>
            <w:tcW w:w="75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29%</w:t>
            </w:r>
          </w:p>
        </w:tc>
        <w:tc>
          <w:tcPr>
            <w:tcW w:w="247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3.1., 3.2 y3.3.  25% </w:t>
            </w:r>
          </w:p>
          <w:p>
            <w:pPr>
              <w:pStyle w:val="Contenidodelatabla"/>
              <w:bidi w:val="0"/>
              <w:spacing w:lineRule="auto" w:line="288" w:before="0" w:after="0"/>
              <w:rPr/>
            </w:pPr>
            <w:r>
              <w:rPr>
                <w:rFonts w:ascii="Calibri;sans-serif" w:hAnsi="Calibri;sans-serif"/>
                <w:b w:val="false"/>
                <w:i w:val="false"/>
                <w:caps w:val="false"/>
                <w:smallCaps w:val="false"/>
                <w:strike w:val="false"/>
                <w:dstrike w:val="false"/>
                <w:color w:val="000000"/>
                <w:sz w:val="22"/>
                <w:u w:val="none"/>
                <w:effect w:val="none"/>
              </w:rPr>
              <w:t>3.3                4%</w:t>
            </w:r>
          </w:p>
        </w:tc>
        <w:tc>
          <w:tcPr>
            <w:tcW w:w="3317"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 3.1 y 3.2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EJERCICIOS DE CLASE, Y CASA 3.3 </w:t>
            </w:r>
          </w:p>
          <w:p>
            <w:pPr>
              <w:pStyle w:val="Contenidodelatabla"/>
              <w:bidi w:val="0"/>
              <w:spacing w:lineRule="auto" w:line="288" w:before="0" w:after="0"/>
              <w:jc w:val="both"/>
              <w:rPr/>
            </w:pPr>
            <w:r>
              <w:rPr>
                <w:caps w:val="false"/>
                <w:smallCaps w:val="false"/>
                <w:strike w:val="false"/>
                <w:dstrike w:val="false"/>
                <w:color w:val="000000"/>
                <w:u w:val="none"/>
                <w:effect w:val="none"/>
              </w:rPr>
              <w:t> </w:t>
            </w:r>
            <w:r>
              <w:rPr>
                <w:rFonts w:ascii="Calibri;sans-serif" w:hAnsi="Calibri;sans-serif"/>
                <w:b w:val="false"/>
                <w:i w:val="false"/>
                <w:caps w:val="false"/>
                <w:smallCaps w:val="false"/>
                <w:strike w:val="false"/>
                <w:dstrike w:val="false"/>
                <w:color w:val="000000"/>
                <w:sz w:val="22"/>
                <w:u w:val="none"/>
                <w:effect w:val="none"/>
              </w:rPr>
              <w:t>INFORMES DE LABORATORIO 3.3 </w:t>
            </w:r>
          </w:p>
        </w:tc>
      </w:tr>
      <w:tr>
        <w:trPr/>
        <w:tc>
          <w:tcPr>
            <w:tcW w:w="193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FQ.4.</w:t>
            </w:r>
          </w:p>
        </w:tc>
        <w:tc>
          <w:tcPr>
            <w:tcW w:w="75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2 %</w:t>
            </w:r>
          </w:p>
        </w:tc>
        <w:tc>
          <w:tcPr>
            <w:tcW w:w="247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4.2 </w:t>
            </w:r>
          </w:p>
        </w:tc>
        <w:tc>
          <w:tcPr>
            <w:tcW w:w="3317"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ACTIVIDADES DE MANEJO DE LA INFORMACIÓN</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tc>
      </w:tr>
      <w:tr>
        <w:trPr/>
        <w:tc>
          <w:tcPr>
            <w:tcW w:w="193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5</w:t>
            </w:r>
          </w:p>
        </w:tc>
        <w:tc>
          <w:tcPr>
            <w:tcW w:w="75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2 %</w:t>
            </w:r>
          </w:p>
        </w:tc>
        <w:tc>
          <w:tcPr>
            <w:tcW w:w="247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5.2</w:t>
            </w:r>
          </w:p>
        </w:tc>
        <w:tc>
          <w:tcPr>
            <w:tcW w:w="3317"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 </w:t>
            </w:r>
          </w:p>
        </w:tc>
      </w:tr>
      <w:tr>
        <w:trPr/>
        <w:tc>
          <w:tcPr>
            <w:tcW w:w="193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FQ.6.</w:t>
            </w:r>
          </w:p>
        </w:tc>
        <w:tc>
          <w:tcPr>
            <w:tcW w:w="75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2 %</w:t>
            </w:r>
          </w:p>
        </w:tc>
        <w:tc>
          <w:tcPr>
            <w:tcW w:w="247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6.2</w:t>
            </w:r>
          </w:p>
        </w:tc>
        <w:tc>
          <w:tcPr>
            <w:tcW w:w="3317"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 </w:t>
            </w:r>
          </w:p>
        </w:tc>
      </w:tr>
    </w:tbl>
    <w:p>
      <w:pPr>
        <w:pStyle w:val="Cuerpodetexto"/>
        <w:rPr/>
      </w:pPr>
      <w:r>
        <w:rPr>
          <w:b w:val="false"/>
          <w:color w:val="auto"/>
          <w:sz w:val="22"/>
          <w:szCs w:val="22"/>
        </w:rPr>
        <w:br/>
      </w:r>
    </w:p>
    <w:p>
      <w:pPr>
        <w:pStyle w:val="Normal"/>
        <w:rPr>
          <w:rFonts w:ascii="Calibri" w:hAnsi="Calibri"/>
          <w:color w:val="auto"/>
          <w:sz w:val="22"/>
          <w:szCs w:val="22"/>
        </w:rPr>
      </w:pPr>
      <w:r>
        <w:rPr>
          <w:color w:val="auto"/>
          <w:sz w:val="22"/>
          <w:szCs w:val="22"/>
        </w:rPr>
      </w:r>
    </w:p>
    <w:p>
      <w:pPr>
        <w:pStyle w:val="Normal"/>
        <w:jc w:val="both"/>
        <w:rPr/>
      </w:pPr>
      <w:r>
        <w:rPr>
          <w:color w:val="auto"/>
          <w:sz w:val="22"/>
          <w:szCs w:val="22"/>
        </w:rPr>
        <w:t>6. Aquellos alumnos que obtengan una calificación menor de 5 en la evaluación final ordinaria</w:t>
      </w:r>
    </w:p>
    <w:p>
      <w:pPr>
        <w:pStyle w:val="Normal"/>
        <w:jc w:val="both"/>
        <w:rPr/>
      </w:pPr>
      <w:r>
        <w:rPr>
          <w:rFonts w:eastAsia="Cambria" w:cs="Cambria"/>
          <w:sz w:val="22"/>
          <w:szCs w:val="22"/>
        </w:rPr>
        <w:t xml:space="preserve"> </w:t>
      </w:r>
      <w:r>
        <w:rPr>
          <w:rFonts w:eastAsia="Cambria" w:cs="Cambria"/>
          <w:b/>
          <w:bCs/>
          <w:sz w:val="22"/>
          <w:szCs w:val="22"/>
        </w:rPr>
        <w:t xml:space="preserve">Prueba extraordinaria: </w:t>
      </w:r>
      <w:r>
        <w:rPr>
          <w:rFonts w:eastAsia="Cambria" w:cs="Cambria"/>
          <w:sz w:val="22"/>
          <w:szCs w:val="22"/>
        </w:rPr>
        <w:t xml:space="preserve">Aquellos alumnos que no hayan alcanzado la nota de 5 en la convocatoria ordinaria realizarán un examen global de recuperación en la convocatoria extraordinaria de todo el curso basado en los saberes y criterios de evaluación  de la asignatura. </w:t>
      </w:r>
    </w:p>
    <w:p>
      <w:pPr>
        <w:pStyle w:val="Normal"/>
        <w:spacing w:before="0" w:after="120"/>
        <w:jc w:val="both"/>
        <w:rPr/>
      </w:pPr>
      <w:r>
        <w:rPr>
          <w:rFonts w:eastAsia="Cambria" w:cs="Cambria"/>
          <w:color w:val="auto"/>
          <w:sz w:val="22"/>
          <w:szCs w:val="22"/>
        </w:rPr>
        <w:t>Esta prueba extraordinaria se considerará superada cuando se haya obtenido una calificación igual o superior a cinco. La nota final de la materia sera la nota de esta prueba</w:t>
      </w:r>
    </w:p>
    <w:p>
      <w:pPr>
        <w:pStyle w:val="Estiloparrafos"/>
        <w:bidi w:val="0"/>
        <w:spacing w:before="0" w:after="120"/>
        <w:jc w:val="both"/>
        <w:rPr>
          <w:rFonts w:ascii="Cambria" w:hAnsi="Cambria" w:eastAsia="Cambria" w:cs="Cambria"/>
        </w:rPr>
      </w:pPr>
      <w:r>
        <w:rPr>
          <w:rFonts w:eastAsia="Cambria" w:cs="Cambria" w:ascii="Cambria" w:hAnsi="Cambria"/>
        </w:rPr>
      </w:r>
    </w:p>
    <w:p>
      <w:pPr>
        <w:pStyle w:val="Normal"/>
        <w:jc w:val="both"/>
        <w:rPr/>
      </w:pPr>
      <w:r>
        <w:rPr>
          <w:rFonts w:eastAsia="Cambria" w:cs="Cambria" w:ascii="Cambria" w:hAnsi="Cambria"/>
          <w:b/>
          <w:u w:val="single"/>
        </w:rPr>
        <w:t>5. EVALUACIÓN INICIAL</w:t>
      </w:r>
    </w:p>
    <w:p>
      <w:pPr>
        <w:pStyle w:val="Normal"/>
        <w:tabs>
          <w:tab w:val="clear" w:pos="720"/>
          <w:tab w:val="left" w:pos="284" w:leader="none"/>
        </w:tabs>
        <w:ind w:firstLine="284"/>
        <w:jc w:val="both"/>
        <w:rPr/>
      </w:pPr>
      <w:r>
        <w:rPr>
          <w:sz w:val="22"/>
          <w:szCs w:val="22"/>
        </w:rPr>
        <w:t>El proceso de enseñanza y del aprendizaje de alumnos y alumnas se dirige hacia el logro de una serie de objetivos, lo que implica partir de un "estado inicial" (que debe conocerse) sobre el que se irán operando los cambios producidos por el proceso enseñanza-aprendizaje.</w:t>
      </w:r>
    </w:p>
    <w:p>
      <w:pPr>
        <w:pStyle w:val="Normal"/>
        <w:tabs>
          <w:tab w:val="clear" w:pos="720"/>
          <w:tab w:val="left" w:pos="284" w:leader="none"/>
        </w:tabs>
        <w:ind w:firstLine="284"/>
        <w:jc w:val="both"/>
        <w:rPr/>
      </w:pPr>
      <w:r>
        <w:rPr>
          <w:sz w:val="22"/>
          <w:szCs w:val="22"/>
        </w:rPr>
        <w:t>El conocimiento de los niveles, características y necesidades de los alumnos nos permitirán tomar una serie de decisiones relativas a:</w:t>
      </w:r>
    </w:p>
    <w:p>
      <w:pPr>
        <w:pStyle w:val="Normal"/>
        <w:numPr>
          <w:ilvl w:val="0"/>
          <w:numId w:val="2"/>
        </w:numPr>
        <w:tabs>
          <w:tab w:val="clear" w:pos="720"/>
          <w:tab w:val="left" w:pos="284" w:leader="none"/>
        </w:tabs>
        <w:spacing w:before="0" w:after="0"/>
        <w:ind w:left="284" w:hanging="0"/>
        <w:jc w:val="both"/>
        <w:rPr/>
      </w:pPr>
      <w:r>
        <w:rPr>
          <w:sz w:val="22"/>
          <w:szCs w:val="22"/>
        </w:rPr>
        <w:t>planificar y programar las actividades docentes.</w:t>
      </w:r>
    </w:p>
    <w:p>
      <w:pPr>
        <w:pStyle w:val="Normal"/>
        <w:numPr>
          <w:ilvl w:val="0"/>
          <w:numId w:val="2"/>
        </w:numPr>
        <w:tabs>
          <w:tab w:val="clear" w:pos="720"/>
          <w:tab w:val="left" w:pos="284" w:leader="none"/>
        </w:tabs>
        <w:spacing w:before="0" w:after="0"/>
        <w:ind w:left="284" w:hanging="0"/>
        <w:jc w:val="both"/>
        <w:rPr/>
      </w:pPr>
      <w:r>
        <w:rPr>
          <w:sz w:val="22"/>
          <w:szCs w:val="22"/>
        </w:rPr>
        <w:t>adoptar medidas de atención a la diversidad en el aula.</w:t>
      </w:r>
    </w:p>
    <w:p>
      <w:pPr>
        <w:pStyle w:val="Normal"/>
        <w:numPr>
          <w:ilvl w:val="0"/>
          <w:numId w:val="2"/>
        </w:numPr>
        <w:tabs>
          <w:tab w:val="clear" w:pos="720"/>
          <w:tab w:val="left" w:pos="284" w:leader="none"/>
        </w:tabs>
        <w:ind w:left="284" w:hanging="0"/>
        <w:jc w:val="both"/>
        <w:rPr/>
      </w:pPr>
      <w:r>
        <w:rPr>
          <w:sz w:val="22"/>
          <w:szCs w:val="22"/>
        </w:rPr>
        <w:t>metodologías a emplear.</w:t>
      </w:r>
    </w:p>
    <w:p>
      <w:pPr>
        <w:pStyle w:val="Normal"/>
        <w:tabs>
          <w:tab w:val="clear" w:pos="720"/>
          <w:tab w:val="left" w:pos="284" w:leader="none"/>
        </w:tabs>
        <w:ind w:firstLine="284"/>
        <w:jc w:val="both"/>
        <w:rPr/>
      </w:pPr>
      <w:r>
        <w:rPr>
          <w:sz w:val="22"/>
          <w:szCs w:val="22"/>
        </w:rPr>
        <w:t>El proceso de evaluación inicial exige que se atienda más a los posibles recursos y capacidades de los alumnos que a las posibles deficiencias que presenten, aunque sin olvidar éstas.</w:t>
      </w:r>
    </w:p>
    <w:p>
      <w:pPr>
        <w:pStyle w:val="Normal"/>
        <w:tabs>
          <w:tab w:val="clear" w:pos="720"/>
          <w:tab w:val="left" w:pos="284" w:leader="none"/>
        </w:tabs>
        <w:ind w:firstLine="284"/>
        <w:jc w:val="both"/>
        <w:rPr/>
      </w:pPr>
      <w:r>
        <w:rPr>
          <w:rFonts w:cs="Calibri" w:cstheme="minorHAnsi"/>
          <w:sz w:val="22"/>
          <w:szCs w:val="22"/>
        </w:rPr>
        <w:t>Desde este supuesto lo primero que conviene explorar y conocer son las actitudes de los alumnos frente a los contenidos de la materia. El conocimiento de estas actitudes proporcionará datos valiosos para organizar unas actividades que fomenten la "motivación por aprender" en los alumnos/as. Esta información se recogerá a partir de la observación de los intereses del alumnado durante los primeros días del curso por parte del docente.</w:t>
      </w:r>
    </w:p>
    <w:p>
      <w:pPr>
        <w:pStyle w:val="Normal"/>
        <w:tabs>
          <w:tab w:val="clear" w:pos="720"/>
          <w:tab w:val="left" w:pos="284" w:leader="none"/>
        </w:tabs>
        <w:ind w:firstLine="284"/>
        <w:jc w:val="both"/>
        <w:rPr/>
      </w:pPr>
      <w:r>
        <w:rPr>
          <w:rFonts w:cs="Calibri" w:cstheme="minorHAnsi"/>
          <w:sz w:val="22"/>
          <w:szCs w:val="22"/>
        </w:rPr>
        <w:t xml:space="preserve">En segundo lugar, interesa conocer el grado de dominio de cada alumno/a de los contenidos relacionados con la materia de cursos anteriores. En este sentido, el instrumento principal para la recogida de información de cara a la evaluación inicial será una prueba escrita que haga referencia principalmente a los contenidos de 3º de ESO (Física y Química), aunque también aparecen algunos de las materias de Matemáticas de 2º y 3º de ESO. </w:t>
      </w:r>
    </w:p>
    <w:p>
      <w:pPr>
        <w:pStyle w:val="Normal"/>
        <w:tabs>
          <w:tab w:val="clear" w:pos="720"/>
          <w:tab w:val="left" w:pos="284" w:leader="none"/>
        </w:tabs>
        <w:ind w:firstLine="284"/>
        <w:jc w:val="both"/>
        <w:rPr/>
      </w:pPr>
      <w:r>
        <w:rPr>
          <w:sz w:val="22"/>
          <w:szCs w:val="22"/>
        </w:rPr>
        <w:t xml:space="preserve"> </w:t>
      </w:r>
      <w:r>
        <w:rPr>
          <w:sz w:val="22"/>
          <w:szCs w:val="22"/>
        </w:rPr>
        <w:t>Esta prueba no tiene una finalidad clasificadora del alumnado, pero puede servir para la detección temprana de problemas y dificultades de aprendizaje en algunos alumnos/as.</w:t>
      </w:r>
    </w:p>
    <w:p>
      <w:pPr>
        <w:pStyle w:val="Normal"/>
        <w:tabs>
          <w:tab w:val="clear" w:pos="720"/>
          <w:tab w:val="left" w:pos="284" w:leader="none"/>
        </w:tabs>
        <w:ind w:firstLine="284"/>
        <w:jc w:val="both"/>
        <w:rPr/>
      </w:pPr>
      <w:r>
        <w:rPr>
          <w:sz w:val="22"/>
          <w:szCs w:val="22"/>
        </w:rPr>
        <w:t xml:space="preserve">Asimismo, es importante disponer de la información acumulada sobre el alumno/a a lo largo de su escolarización en el instituto, pudiéndose obtener de esta manera datos muy valiosos para la optimización del proceso enseñanza-aprendizaje. </w:t>
      </w:r>
    </w:p>
    <w:p>
      <w:pPr>
        <w:pStyle w:val="Normal"/>
        <w:tabs>
          <w:tab w:val="clear" w:pos="720"/>
          <w:tab w:val="left" w:pos="284" w:leader="none"/>
        </w:tabs>
        <w:ind w:firstLine="284"/>
        <w:jc w:val="both"/>
        <w:rPr/>
      </w:pPr>
      <w:r>
        <w:rPr>
          <w:sz w:val="22"/>
          <w:szCs w:val="22"/>
        </w:rPr>
        <w:t>En función de los datos que se obtengan de las diferentes fuentes de información indicadas se realizarán las siguientes acciones:</w:t>
      </w:r>
    </w:p>
    <w:p>
      <w:pPr>
        <w:pStyle w:val="Normal"/>
        <w:tabs>
          <w:tab w:val="clear" w:pos="720"/>
          <w:tab w:val="left" w:pos="284" w:leader="none"/>
        </w:tabs>
        <w:ind w:firstLine="567"/>
        <w:jc w:val="both"/>
        <w:rPr/>
      </w:pPr>
      <w:r>
        <w:rPr>
          <w:sz w:val="22"/>
          <w:szCs w:val="22"/>
        </w:rPr>
        <w:t>- Se establecerá el punto de partida del proceso de enseñanza-aprendizaje.</w:t>
      </w:r>
    </w:p>
    <w:p>
      <w:pPr>
        <w:pStyle w:val="Normal"/>
        <w:tabs>
          <w:tab w:val="clear" w:pos="720"/>
          <w:tab w:val="left" w:pos="284" w:leader="none"/>
        </w:tabs>
        <w:ind w:firstLine="567"/>
        <w:jc w:val="both"/>
        <w:rPr/>
      </w:pPr>
      <w:r>
        <w:rPr>
          <w:sz w:val="22"/>
          <w:szCs w:val="22"/>
        </w:rPr>
        <w:t xml:space="preserve"> </w:t>
      </w:r>
      <w:r>
        <w:rPr>
          <w:sz w:val="22"/>
          <w:szCs w:val="22"/>
        </w:rPr>
        <w:t>- Se adecuará el proceso de enseñanza a las características de los alumnos (tanto a nivel grupal como individual), diseñando las actividades de refuerzo para aquellos alumnos que lo necesiten.</w:t>
      </w:r>
    </w:p>
    <w:p>
      <w:pPr>
        <w:pStyle w:val="Normal"/>
        <w:tabs>
          <w:tab w:val="clear" w:pos="720"/>
          <w:tab w:val="left" w:pos="284" w:leader="none"/>
        </w:tabs>
        <w:ind w:firstLine="567"/>
        <w:jc w:val="both"/>
        <w:rPr/>
      </w:pPr>
      <w:r>
        <w:rPr>
          <w:sz w:val="22"/>
          <w:szCs w:val="22"/>
        </w:rPr>
        <w:t>- Se elaborarán las adaptaciones no significativas que sean precisas en colaboración con el departamento de Orientación.</w:t>
      </w:r>
    </w:p>
    <w:p>
      <w:pPr>
        <w:pStyle w:val="Normal"/>
        <w:tabs>
          <w:tab w:val="clear" w:pos="720"/>
          <w:tab w:val="left" w:pos="284" w:leader="none"/>
        </w:tabs>
        <w:ind w:firstLine="567"/>
        <w:jc w:val="both"/>
        <w:rPr/>
      </w:pPr>
      <w:r>
        <w:rPr>
          <w:rFonts w:eastAsia="Cambria" w:cs="Cambria" w:ascii="Cambria" w:hAnsi="Cambria"/>
          <w:sz w:val="22"/>
          <w:szCs w:val="22"/>
        </w:rPr>
        <w:t xml:space="preserve">- Se diseñará la metodología adecuada a la realidad y a los focos de interés de los alumnos/as del grupo. </w:t>
      </w:r>
    </w:p>
    <w:p>
      <w:pPr>
        <w:pStyle w:val="Normal"/>
        <w:jc w:val="both"/>
        <w:rPr/>
      </w:pPr>
      <w:r>
        <w:rPr>
          <w:rFonts w:eastAsia="Cambria" w:cs="Cambria" w:ascii="Cambria" w:hAnsi="Cambria"/>
          <w:b/>
          <w:u w:val="single"/>
        </w:rPr>
        <w:t>6. EVALUACIÓN EXTRAORDINARIA</w:t>
      </w:r>
    </w:p>
    <w:p>
      <w:pPr>
        <w:pStyle w:val="Normal"/>
        <w:jc w:val="both"/>
        <w:rPr/>
      </w:pPr>
      <w:r>
        <w:rPr>
          <w:rFonts w:eastAsia="Cambria" w:cs="Cambria"/>
          <w:sz w:val="22"/>
          <w:szCs w:val="22"/>
        </w:rPr>
        <w:t xml:space="preserve"> </w:t>
      </w:r>
      <w:r>
        <w:rPr>
          <w:rFonts w:eastAsia="Cambria" w:cs="Cambria"/>
          <w:b/>
          <w:bCs/>
          <w:sz w:val="22"/>
          <w:szCs w:val="22"/>
        </w:rPr>
        <w:t xml:space="preserve">Prueba extraordinaria: </w:t>
      </w:r>
      <w:r>
        <w:rPr>
          <w:rFonts w:eastAsia="Cambria" w:cs="Cambria"/>
          <w:sz w:val="22"/>
          <w:szCs w:val="22"/>
        </w:rPr>
        <w:t xml:space="preserve">Aquellos alumnos que no hayan alcanzado la nota de 5 en la convocatoria ordinaria realizarán un examen global de recuperación en la convocatoria extraordinaria de todo el curso basado en los saberes y criterios de evaluación  de la asignatura. </w:t>
      </w:r>
    </w:p>
    <w:p>
      <w:pPr>
        <w:pStyle w:val="Normal"/>
        <w:spacing w:before="0" w:after="120"/>
        <w:jc w:val="both"/>
        <w:rPr/>
      </w:pPr>
      <w:r>
        <w:rPr>
          <w:rFonts w:eastAsia="Cambria" w:cs="Cambria"/>
          <w:b/>
          <w:color w:val="auto"/>
          <w:sz w:val="22"/>
          <w:szCs w:val="22"/>
          <w:u w:val="single"/>
        </w:rPr>
        <w:t>Esta prueba extraordinaria se considerará superada cuando se haya obtenido una calificación igual o superior a cinco. La nota final de la materia sera la nota de esta prueba</w:t>
      </w:r>
    </w:p>
    <w:p>
      <w:pPr>
        <w:pStyle w:val="Normal"/>
        <w:jc w:val="both"/>
        <w:rPr/>
      </w:pPr>
      <w:r>
        <w:rPr>
          <w:rFonts w:eastAsia="Cambria" w:cs="Cambria" w:ascii="Cambria" w:hAnsi="Cambria"/>
          <w:b/>
          <w:u w:val="single"/>
        </w:rPr>
        <w:t>7. ACTUACIONES GENERALES DE ATENCIÓN A LAS DIFERENCIAS INDIVIDUALES</w:t>
      </w:r>
    </w:p>
    <w:p>
      <w:pPr>
        <w:pStyle w:val="Normal"/>
        <w:jc w:val="both"/>
        <w:rPr/>
      </w:pPr>
      <w:r>
        <w:rPr>
          <w:rFonts w:eastAsia="Cambria" w:cs="Calibri" w:cstheme="minorHAnsi"/>
          <w:sz w:val="22"/>
          <w:szCs w:val="22"/>
        </w:rPr>
        <w:t xml:space="preserve">La </w:t>
      </w:r>
      <w:r>
        <w:rPr>
          <w:rFonts w:cs="Calibri" w:cstheme="minorHAnsi"/>
          <w:bCs/>
          <w:sz w:val="22"/>
          <w:szCs w:val="22"/>
        </w:rPr>
        <w:t xml:space="preserve">Orden ECD/1172/2022 establece en su Artículo 36 que: </w:t>
      </w:r>
    </w:p>
    <w:p>
      <w:pPr>
        <w:pStyle w:val="Normal"/>
        <w:jc w:val="both"/>
        <w:rPr/>
      </w:pPr>
      <w:r>
        <w:rPr>
          <w:rFonts w:cs="Calibri" w:cstheme="minorHAnsi"/>
          <w:i/>
          <w:sz w:val="22"/>
          <w:szCs w:val="22"/>
        </w:rPr>
        <w:t>1. La Educación Secundaria Obligatoria se organizará de acuerdo con los principios de educación común y de atención a la diversidad del alumnado. Con objeto de reforzar la inclusión y asegurar el derecho a una educación de calidad, en esta etapa se pondrá especial énfasis en la atención individualizada a los alumnos y a las alumnas, en la detección precoz de sus necesidades específicas y en el establecimiento de mecanismos de apoyo y refuerzo para evitar la permanencia en un mismo curso, particularmente en entornos socialmente vulnerables y teniendo en cuenta sus circunstancias y sus diferentes ritmos de aprendizaje.</w:t>
      </w:r>
    </w:p>
    <w:p>
      <w:pPr>
        <w:pStyle w:val="Normal"/>
        <w:ind w:firstLine="397"/>
        <w:jc w:val="both"/>
        <w:rPr/>
      </w:pPr>
      <w:r>
        <w:rPr>
          <w:rFonts w:cs="Calibri" w:cstheme="minorHAnsi"/>
          <w:sz w:val="22"/>
          <w:szCs w:val="22"/>
        </w:rPr>
        <w:t xml:space="preserve">De forma que en cualquier caso se debe garantizar que todos los alumnos/as de cada grupo alcancen el máximo desarrollo posible de sus capacidades, utilizando para ello los medios que sean necesarios. En la materia de Física y Química en 1ºBCH se llevarán a cabo las siguientes estrategias para atender a la diversidad del alumnado: </w:t>
      </w:r>
    </w:p>
    <w:p>
      <w:pPr>
        <w:pStyle w:val="Normal"/>
        <w:numPr>
          <w:ilvl w:val="0"/>
          <w:numId w:val="3"/>
        </w:numPr>
        <w:jc w:val="both"/>
        <w:rPr/>
      </w:pPr>
      <w:r>
        <w:rPr>
          <w:rFonts w:cs="Calibri" w:cstheme="minorHAnsi"/>
          <w:sz w:val="22"/>
          <w:szCs w:val="22"/>
        </w:rPr>
        <w:t xml:space="preserve">Atención individualizada a cada alumno/a: el docente atenderá de forma individual a cada alumno/a durante las clases para orientarlo en sus aprendizajes, para resolver sus dudas y para estar al día de sus progresos. </w:t>
      </w:r>
    </w:p>
    <w:p>
      <w:pPr>
        <w:pStyle w:val="Normal"/>
        <w:numPr>
          <w:ilvl w:val="0"/>
          <w:numId w:val="3"/>
        </w:numPr>
        <w:jc w:val="both"/>
        <w:rPr/>
      </w:pPr>
      <w:r>
        <w:rPr>
          <w:rFonts w:cs="Calibri" w:cstheme="minorHAnsi"/>
          <w:sz w:val="22"/>
          <w:szCs w:val="22"/>
        </w:rPr>
        <w:t xml:space="preserve">Actividades de refuerzo: para aquellos alumnos/as que muestren dificultades en la adquisición de nuevos aprendizajes se propondrán actividades que sirvan para afianzar los contenidos mínimos de la materia. En este sentido, también se facilitarán a los alumnos/as hojas con ejercicios/problemas y sus soluciones para que puedan repasar de forma autónoma. </w:t>
      </w:r>
    </w:p>
    <w:p>
      <w:pPr>
        <w:pStyle w:val="Normal"/>
        <w:numPr>
          <w:ilvl w:val="0"/>
          <w:numId w:val="3"/>
        </w:numPr>
        <w:jc w:val="both"/>
        <w:rPr/>
      </w:pPr>
      <w:r>
        <w:rPr>
          <w:sz w:val="22"/>
          <w:szCs w:val="22"/>
        </w:rPr>
        <w:t xml:space="preserve">Actividades de ampliación: serán actividades que impliquen una profundización en los contenidos de la asignatura. Serán de carácter voluntario y su realización podrá implicar un aumento en la calificación de una evaluación de hasta medio punto. </w:t>
      </w:r>
    </w:p>
    <w:p>
      <w:pPr>
        <w:pStyle w:val="Normal"/>
        <w:tabs>
          <w:tab w:val="clear" w:pos="720"/>
          <w:tab w:val="left" w:pos="284" w:leader="none"/>
        </w:tabs>
        <w:ind w:firstLine="284"/>
        <w:jc w:val="both"/>
        <w:rPr/>
      </w:pPr>
      <w:r>
        <w:rPr>
          <w:sz w:val="22"/>
          <w:szCs w:val="22"/>
        </w:rPr>
        <w:t xml:space="preserve">Mientras que en referencia al alumnado con necesidad específica de apoyo educativo en la Orden ECD/1172/2022 se sostiene que: </w:t>
      </w:r>
    </w:p>
    <w:p>
      <w:pPr>
        <w:pStyle w:val="Normal"/>
        <w:tabs>
          <w:tab w:val="clear" w:pos="720"/>
          <w:tab w:val="left" w:pos="284" w:leader="none"/>
        </w:tabs>
        <w:ind w:firstLine="284"/>
        <w:jc w:val="both"/>
        <w:rPr/>
      </w:pPr>
      <w:r>
        <w:rPr>
          <w:i/>
          <w:sz w:val="22"/>
          <w:szCs w:val="22"/>
        </w:rPr>
        <w:t xml:space="preserve">Se adoptarán medidas curriculares y organizativas inclusivas para asegurar que el alumnado con necesidad específica de apoyo educativo pueda alcanzar los objetivos y las competencias de la etapa y el máximo desarrollo de sus capacidades personales. </w:t>
      </w:r>
    </w:p>
    <w:p>
      <w:pPr>
        <w:pStyle w:val="Normal"/>
        <w:tabs>
          <w:tab w:val="clear" w:pos="720"/>
          <w:tab w:val="left" w:pos="284" w:leader="none"/>
        </w:tabs>
        <w:ind w:firstLine="284"/>
        <w:jc w:val="both"/>
        <w:rPr/>
      </w:pPr>
      <w:r>
        <w:rPr>
          <w:rFonts w:eastAsia="Cambria" w:cs="Cambria" w:ascii="Cambria" w:hAnsi="Cambria"/>
          <w:sz w:val="22"/>
          <w:szCs w:val="22"/>
        </w:rPr>
        <w:t>Por tanto, para los alumnos ACNEAES se realizarán las adaptaciones que sean necesarias, tanto generales como específicas, de forma coordinada con el Departamento de Orientación del centro.  En el caso de que haya que elaborar actuaciones específicas de intervención educativa (adaptaciones significativas), se adaptarán los contenidos de la materia así como los criterios y los instrumentos de evaluación a la situación académica del alumno/a. En esos casos, tanto el departamento de Física y Química como el departamento de Orientación dispondrán de una copia de la actuación específica de intervención educativa de la materia.</w:t>
      </w:r>
    </w:p>
    <w:p>
      <w:pPr>
        <w:pStyle w:val="Normal"/>
        <w:jc w:val="both"/>
        <w:rPr/>
      </w:pPr>
      <w:r>
        <w:rPr>
          <w:rFonts w:eastAsia="Cambria" w:cs="Cambria" w:ascii="Cambria" w:hAnsi="Cambria"/>
          <w:b/>
          <w:u w:val="single"/>
        </w:rPr>
        <w:t>8. PLAN DE RECUPERACIÓN DE MATERIAS PENDIENTES</w:t>
      </w:r>
    </w:p>
    <w:p>
      <w:pPr>
        <w:pStyle w:val="Normal"/>
        <w:jc w:val="both"/>
        <w:rPr/>
      </w:pPr>
      <w:r>
        <w:rPr>
          <w:rFonts w:eastAsia="Cambria" w:cs="Cambria" w:ascii="Cambria" w:hAnsi="Cambria"/>
          <w:b w:val="false"/>
          <w:bCs w:val="false"/>
          <w:u w:val="none"/>
        </w:rPr>
        <w:t xml:space="preserve">En este curso los alumnos no tienen materias pendientes </w:t>
      </w:r>
    </w:p>
    <w:p>
      <w:pPr>
        <w:pStyle w:val="Normal"/>
        <w:jc w:val="both"/>
        <w:rPr/>
      </w:pPr>
      <w:r>
        <w:rPr>
          <w:rFonts w:eastAsia="Cambria" w:cs="Cambria" w:ascii="Cambria" w:hAnsi="Cambria"/>
          <w:b/>
          <w:u w:val="single"/>
        </w:rPr>
        <w:t>9. ESTRATEGIAS DIDÁCTICAS Y METODOLÓGICAS.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Las normas y la convivencia en el aula.</w:t>
      </w:r>
    </w:p>
    <w:p>
      <w:pPr>
        <w:pStyle w:val="Normal"/>
        <w:jc w:val="both"/>
        <w:rPr/>
      </w:pPr>
      <w:r>
        <w:rPr>
          <w:rFonts w:cs="Arial"/>
          <w:sz w:val="22"/>
          <w:szCs w:val="22"/>
        </w:rPr>
        <w:t>Para que el trabajo en el aula favorezca el aprendizaje indispensable un ambiente que lo propicie y facilite, se consensuarán en los primeros días unas normas de convivencia. La no imposición y el consenso tienen como objetivo que cada alumno haga suyas esas normas y se sienta partícipe de la vida de la clase y co-responsable del buen funcionamiento de la misma. Se velará durante todo el curso por el mantenimiento de un clima de armonía, respeto, cooperación y convivencia entre todos los miembros del grupo. Un lugar donde los alumnos se encuentren libres y puedan expresarse es un vehículo imprescindible para un buen aprendizaje.</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El aula como comunidad de aprendizaje.</w:t>
      </w:r>
    </w:p>
    <w:p>
      <w:pPr>
        <w:pStyle w:val="Normal"/>
        <w:jc w:val="both"/>
        <w:rPr/>
      </w:pPr>
      <w:r>
        <w:rPr>
          <w:rFonts w:cs="Arial"/>
          <w:sz w:val="22"/>
          <w:szCs w:val="22"/>
        </w:rPr>
        <w:t xml:space="preserve">El grupo se enriquece con las aportaciones individuales de cada uno de sus miembros, por lo que todos ellos tendrán cabida en el aula, favoreciendo la interiorización de los aprendizajes mediante su conexión con la experiencia vital cotidiana. Se propiciarán entre los alumnos actitudes como la ayuda, el apoyo, la escucha o la inclusión. Todos aprendemos de todos. </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Protagonismo del alumno en la actividad.</w:t>
      </w:r>
    </w:p>
    <w:p>
      <w:pPr>
        <w:pStyle w:val="Normal"/>
        <w:jc w:val="both"/>
        <w:rPr/>
      </w:pPr>
      <w:r>
        <w:rPr>
          <w:rFonts w:cs="Arial"/>
          <w:sz w:val="22"/>
          <w:szCs w:val="22"/>
        </w:rPr>
        <w:t>Se favorecerá la integración activa de cada alumno, su motivación y autoestima, haciendo de la clase un lugar de encuentro en el que se sienta cómodo, relajado e importante, en el que pueda manifestar sus sugerencias e inquietudes en un marco de respeto, colaboración y cordialidad, y en el que se sienta con ganas de aprender. Se consideran fundamentales tanto su trabajo de estudio diario e individual fuera del aula, como su participación en el desarrollo de las sesiones.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Reconocimiento y potenciación de las habilidades del alumno.</w:t>
      </w:r>
    </w:p>
    <w:p>
      <w:pPr>
        <w:pStyle w:val="Normal"/>
        <w:jc w:val="both"/>
        <w:rPr/>
      </w:pPr>
      <w:r>
        <w:rPr>
          <w:rFonts w:cs="Arial"/>
          <w:sz w:val="22"/>
          <w:szCs w:val="22"/>
        </w:rPr>
        <w:t>Se hará más énfasis en las capacidades y fortalezas de los alumnos que en sus dificultades, definiendo así las metas en positivo, generando recursos para alcanzarlas, y ganando en seguridad y motivación de logro de las expectativas. Los obstáculos y los conflictos se plantean como oportunidades de crecimiento.</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Partir de los conocimientos previos de los alumnos.</w:t>
      </w:r>
    </w:p>
    <w:p>
      <w:pPr>
        <w:pStyle w:val="Normal"/>
        <w:jc w:val="both"/>
        <w:rPr/>
      </w:pPr>
      <w:r>
        <w:rPr>
          <w:rFonts w:cs="Arial"/>
          <w:sz w:val="22"/>
          <w:szCs w:val="22"/>
        </w:rPr>
        <w:t>Al comienzo de cada unidad de trabajo se realizarán cuestiones orales y pruebas de “puesta a punto”, que estarán encaminadas, por un lado, a detectar los conocimientos previos que el alumno posee y, por otro, a activar esos conocimientos. Estas actividades permitirán además adaptar el trabajo sobre las unidades didácticas.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Contextualización de los aprendizajes.</w:t>
      </w:r>
    </w:p>
    <w:p>
      <w:pPr>
        <w:pStyle w:val="Normal"/>
        <w:jc w:val="both"/>
        <w:rPr/>
      </w:pPr>
      <w:r>
        <w:rPr>
          <w:rFonts w:cs="Arial"/>
          <w:sz w:val="22"/>
          <w:szCs w:val="22"/>
        </w:rPr>
        <w:t>Al enmarcarse la actividad dentro de un contexto, el alumno entenderá que su realización es necesaria como vía para encontrar respuestas a preguntas o problemas previamente planteados. Se facilitará la capacidad de transferir los aprendizajes a situaciones cercanas a la realidad y, por lo tanto, complejas. Se busca de esta manera una progresiva adquisición de competencias para la vida.</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Interdisciplinariedad.</w:t>
      </w:r>
    </w:p>
    <w:p>
      <w:pPr>
        <w:pStyle w:val="Normal"/>
        <w:jc w:val="both"/>
        <w:rPr/>
      </w:pPr>
      <w:r>
        <w:rPr>
          <w:rFonts w:cs="Arial"/>
          <w:spacing w:val="-3"/>
          <w:sz w:val="22"/>
          <w:szCs w:val="22"/>
        </w:rPr>
        <w:t>Es necesario mostrar los contenidos relacionados, tanto entre los diversos bloques componentes de cada una de las materias, como entre ellas. Es necesario aprender a intervenir en situaciones de la realidad complejas, donde se da una interrelación de diversos fenómenos de forma simultánea y nunca parcelada.</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Ritmos de aprendizaje.</w:t>
      </w:r>
    </w:p>
    <w:p>
      <w:pPr>
        <w:pStyle w:val="Normal"/>
        <w:jc w:val="both"/>
        <w:rPr/>
      </w:pPr>
      <w:r>
        <w:rPr>
          <w:rFonts w:cs="Arial"/>
          <w:sz w:val="22"/>
          <w:szCs w:val="22"/>
        </w:rPr>
        <w:t xml:space="preserve">El proceso educativo es en sí mismo un proceso lento, que hay que mimar y cuidar. No existen las mejoras inmediatas. Son necesarias acciones continuadas y sostenidas en el tiempo. La </w:t>
      </w:r>
      <w:r>
        <w:rPr>
          <w:rFonts w:cs="Arial"/>
          <w:b/>
          <w:sz w:val="22"/>
          <w:szCs w:val="22"/>
        </w:rPr>
        <w:t>atención a la diversidad</w:t>
      </w:r>
      <w:r>
        <w:rPr>
          <w:rFonts w:cs="Arial"/>
          <w:sz w:val="22"/>
          <w:szCs w:val="22"/>
        </w:rPr>
        <w:t xml:space="preserve">, a la que dedico otro apartado, se asienta sobre estos principios. Pero el ritmo de la clase nunca deben marcarlos los alumnos que no trabajan, pues estos no adquieren competencias, ni alcanzan contenidos y no logran los objetivos principalmente por su falta de trabajo. Intentaremos motivarles y reengancharlos. Debido a esto el ritmo de la clase la marcaran los alumnos que trabajen en el día a día.  </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Secuenciación progresiva y cíclica de los contenidos.</w:t>
      </w:r>
    </w:p>
    <w:p>
      <w:pPr>
        <w:pStyle w:val="Normal"/>
        <w:jc w:val="both"/>
        <w:rPr/>
      </w:pPr>
      <w:r>
        <w:rPr>
          <w:rFonts w:cs="Arial"/>
          <w:sz w:val="22"/>
          <w:szCs w:val="22"/>
        </w:rPr>
        <w:t>En relación al epígrafe anterior, las actividades irán organizadas y secuenciadas en función de los objetivos propuestos, del tema tratado, y de las dificultades y progresos observados en el alumnado. Se retomarán periódicamente ciertos contenidos considerados clave para facilitar su adquisición por parte de todos.</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El papel del profesor.</w:t>
      </w:r>
    </w:p>
    <w:p>
      <w:pPr>
        <w:pStyle w:val="Normal"/>
        <w:jc w:val="both"/>
        <w:rPr/>
      </w:pPr>
      <w:r>
        <w:rPr>
          <w:rFonts w:cs="Arial"/>
          <w:sz w:val="22"/>
          <w:szCs w:val="22"/>
        </w:rPr>
        <w:t>Es organizador y animador de las diversas situaciones de aprendizaje, facilitando la adquisición significativa de conocimientos y competencias, y ayudando a crear una atmósfera adecuada de trabajo. Busca la implicación de los alumnos y los guía individualmente y como grupo en su proceso educativo. Genera confianza, potencia el diálogo y la manifestación libre y respetuosa de opiniones, favorece la integración y participación de todos los alumnos, atiende los diversos ritmos y estilos de aprendizaje, estimula, asesora y orienta. Propicia y mantiene el orden, y asegura el cumplimiento de las normas de convivencia del centro y del aula.</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El papel de las familias.</w:t>
      </w:r>
    </w:p>
    <w:p>
      <w:pPr>
        <w:pStyle w:val="Normal"/>
        <w:jc w:val="both"/>
        <w:rPr/>
      </w:pPr>
      <w:r>
        <w:rPr>
          <w:rFonts w:cs="Arial"/>
          <w:sz w:val="22"/>
          <w:szCs w:val="22"/>
        </w:rPr>
        <w:t>Familia y escuela, aunque de forma preeminente la primera, son los agentes protagonistas de la educación de los alumnos, de ahí la necesidad de trabajar conjuntamente y en la misma dirección. Se mantendrá por ello una comunicación fluida con las familias y se intentara la participación de los padres en los grupos interactivos mediante un banco de voluntarios organizado por el AMPA</w:t>
      </w:r>
      <w:r>
        <w:rPr>
          <w:rStyle w:val="Ancladenotaalpie"/>
          <w:rFonts w:cs="Arial"/>
          <w:sz w:val="22"/>
          <w:szCs w:val="22"/>
        </w:rPr>
        <w:footnoteReference w:id="2"/>
      </w:r>
      <w:r>
        <w:rPr>
          <w:rFonts w:cs="Arial"/>
          <w:sz w:val="22"/>
          <w:szCs w:val="22"/>
        </w:rPr>
        <w:t xml:space="preserve">. </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Las nuevas tecnologías.</w:t>
      </w:r>
    </w:p>
    <w:p>
      <w:pPr>
        <w:pStyle w:val="Normal"/>
        <w:jc w:val="both"/>
        <w:rPr/>
      </w:pPr>
      <w:r>
        <w:rPr>
          <w:rFonts w:cs="Arial"/>
          <w:sz w:val="22"/>
          <w:szCs w:val="22"/>
        </w:rPr>
        <w:t xml:space="preserve">Es un medio motivador pues estamos ante una generación eminentemente visual y tecnóloga. La utilización de pequeños videos y/o applets, presentaciones, redes sociales, whasapp, plataforma educativa classroom, etc, nos ayudara a hacer el proceso de aprendizaje más ameno y motivador. </w:t>
      </w:r>
    </w:p>
    <w:p>
      <w:pPr>
        <w:pStyle w:val="Ttulo2"/>
        <w:keepNext w:val="false"/>
        <w:keepLines w:val="false"/>
        <w:numPr>
          <w:ilvl w:val="0"/>
          <w:numId w:val="0"/>
        </w:numPr>
        <w:spacing w:lineRule="auto" w:line="360" w:before="0" w:after="0"/>
        <w:ind w:left="432" w:hanging="432"/>
        <w:contextualSpacing/>
        <w:mirrorIndents/>
        <w:jc w:val="both"/>
        <w:rPr/>
      </w:pPr>
      <w:bookmarkStart w:id="14" w:name="_Toc76513200"/>
      <w:r>
        <w:rPr>
          <w:sz w:val="22"/>
          <w:szCs w:val="22"/>
        </w:rPr>
        <w:t>Diversidad de las formas de clase.</w:t>
      </w:r>
      <w:bookmarkEnd w:id="14"/>
    </w:p>
    <w:p>
      <w:pPr>
        <w:pStyle w:val="Normal"/>
        <w:jc w:val="both"/>
        <w:rPr/>
      </w:pPr>
      <w:r>
        <w:rPr>
          <w:rFonts w:cs="Arial"/>
          <w:sz w:val="22"/>
          <w:szCs w:val="22"/>
        </w:rPr>
        <w:t>Las actividades programadas, serán variadas.</w:t>
      </w:r>
    </w:p>
    <w:p>
      <w:pPr>
        <w:pStyle w:val="Ttulo3"/>
        <w:keepNext w:val="false"/>
        <w:keepLines w:val="false"/>
        <w:numPr>
          <w:ilvl w:val="0"/>
          <w:numId w:val="0"/>
        </w:numPr>
        <w:spacing w:lineRule="auto" w:line="360" w:before="0" w:after="0"/>
        <w:ind w:left="0" w:hanging="0"/>
        <w:contextualSpacing/>
        <w:mirrorIndents/>
        <w:jc w:val="both"/>
        <w:rPr/>
      </w:pPr>
      <w:r>
        <w:rPr>
          <w:sz w:val="22"/>
          <w:szCs w:val="22"/>
        </w:rPr>
        <w:t>Clase magistra</w:t>
      </w:r>
      <w:r>
        <w:rPr>
          <w:b w:val="false"/>
          <w:sz w:val="22"/>
          <w:szCs w:val="22"/>
        </w:rPr>
        <w:t>l</w:t>
      </w:r>
      <w:r>
        <w:rPr>
          <w:sz w:val="22"/>
          <w:szCs w:val="22"/>
        </w:rPr>
        <w:t xml:space="preserve">, </w:t>
      </w:r>
    </w:p>
    <w:p>
      <w:pPr>
        <w:pStyle w:val="Normal"/>
        <w:jc w:val="both"/>
        <w:rPr/>
      </w:pPr>
      <w:r>
        <w:rPr>
          <w:rFonts w:cs="Arial"/>
          <w:sz w:val="22"/>
          <w:szCs w:val="22"/>
        </w:rPr>
        <w:t xml:space="preserve">Teniendo en cuanta que esta comunicación debe ser lo más interactiva posible, y que siempre que se puede se seguirá la secuenciación, Motivar-Repasar-Desarrollar-Asentar las posibilidades de desarrollo de la materia son: </w:t>
      </w:r>
    </w:p>
    <w:p>
      <w:pPr>
        <w:pStyle w:val="ListParagraph"/>
        <w:numPr>
          <w:ilvl w:val="0"/>
          <w:numId w:val="5"/>
        </w:numPr>
        <w:ind w:left="284" w:hanging="284"/>
        <w:jc w:val="both"/>
        <w:rPr/>
      </w:pPr>
      <w:r>
        <w:rPr>
          <w:rFonts w:cs="Arial"/>
          <w:sz w:val="22"/>
          <w:szCs w:val="22"/>
        </w:rPr>
        <w:t>Introducción con algún soporte visual.</w:t>
      </w:r>
    </w:p>
    <w:p>
      <w:pPr>
        <w:pStyle w:val="ListParagraph"/>
        <w:numPr>
          <w:ilvl w:val="0"/>
          <w:numId w:val="5"/>
        </w:numPr>
        <w:ind w:left="284" w:hanging="284"/>
        <w:jc w:val="both"/>
        <w:rPr/>
      </w:pPr>
      <w:r>
        <w:rPr>
          <w:rFonts w:cs="Arial"/>
          <w:sz w:val="22"/>
          <w:szCs w:val="22"/>
        </w:rPr>
        <w:t>Utilización de prácticas magistrales reales o en video.</w:t>
      </w:r>
    </w:p>
    <w:p>
      <w:pPr>
        <w:pStyle w:val="ListParagraph"/>
        <w:numPr>
          <w:ilvl w:val="0"/>
          <w:numId w:val="5"/>
        </w:numPr>
        <w:ind w:left="284" w:hanging="284"/>
        <w:jc w:val="both"/>
        <w:rPr/>
      </w:pPr>
      <w:r>
        <w:rPr>
          <w:rFonts w:cs="Arial"/>
          <w:sz w:val="22"/>
          <w:szCs w:val="22"/>
        </w:rPr>
        <w:t xml:space="preserve">Proponer la resolución de ejercicios. </w:t>
      </w:r>
    </w:p>
    <w:p>
      <w:pPr>
        <w:pStyle w:val="ListParagraph"/>
        <w:numPr>
          <w:ilvl w:val="0"/>
          <w:numId w:val="5"/>
        </w:numPr>
        <w:ind w:left="284" w:hanging="284"/>
        <w:jc w:val="both"/>
        <w:rPr/>
      </w:pPr>
      <w:r>
        <w:rPr>
          <w:rFonts w:cs="Arial"/>
          <w:sz w:val="22"/>
          <w:szCs w:val="22"/>
        </w:rPr>
        <w:t xml:space="preserve">Resolución de problemas. Algún problema se soluciona con errores. Con esto queremos dos cosas, que estén atentos en clase y no se limiten solo a copiar y sobre todo, que vean que de los errores se aprende. </w:t>
      </w:r>
    </w:p>
    <w:p>
      <w:pPr>
        <w:pStyle w:val="ListParagraph"/>
        <w:numPr>
          <w:ilvl w:val="0"/>
          <w:numId w:val="5"/>
        </w:numPr>
        <w:ind w:left="284" w:hanging="284"/>
        <w:jc w:val="both"/>
        <w:rPr/>
      </w:pPr>
      <w:r>
        <w:rPr>
          <w:rFonts w:cs="Arial"/>
          <w:sz w:val="22"/>
          <w:szCs w:val="22"/>
        </w:rPr>
        <w:t xml:space="preserve">Explicación en la pizarra. </w:t>
      </w:r>
    </w:p>
    <w:p>
      <w:pPr>
        <w:pStyle w:val="ListParagraph"/>
        <w:numPr>
          <w:ilvl w:val="0"/>
          <w:numId w:val="5"/>
        </w:numPr>
        <w:ind w:left="284" w:hanging="284"/>
        <w:jc w:val="both"/>
        <w:rPr/>
      </w:pPr>
      <w:r>
        <w:rPr>
          <w:rFonts w:cs="Arial"/>
          <w:sz w:val="22"/>
          <w:szCs w:val="22"/>
        </w:rPr>
        <w:t>Descubrimiento de alguna parte teórica por los alumnos con la guía del profesor, utilizando conocimientos y capacidades que poseen.</w:t>
      </w:r>
    </w:p>
    <w:p>
      <w:pPr>
        <w:pStyle w:val="ListParagraph"/>
        <w:numPr>
          <w:ilvl w:val="0"/>
          <w:numId w:val="5"/>
        </w:numPr>
        <w:ind w:left="284" w:hanging="284"/>
        <w:jc w:val="both"/>
        <w:rPr/>
      </w:pPr>
      <w:r>
        <w:rPr>
          <w:rFonts w:cs="Arial"/>
          <w:sz w:val="22"/>
          <w:szCs w:val="22"/>
        </w:rPr>
        <w:t>Multitud de preguntas para ver su nivel de comprensión y de seguimiento.</w:t>
      </w:r>
    </w:p>
    <w:p>
      <w:pPr>
        <w:pStyle w:val="ListParagraph"/>
        <w:numPr>
          <w:ilvl w:val="0"/>
          <w:numId w:val="5"/>
        </w:numPr>
        <w:ind w:left="284" w:hanging="284"/>
        <w:jc w:val="both"/>
        <w:rPr/>
      </w:pPr>
      <w:r>
        <w:rPr>
          <w:rFonts w:cs="Arial"/>
          <w:sz w:val="22"/>
          <w:szCs w:val="22"/>
        </w:rPr>
        <w:t>Seguimiento de una presentación con ejercicios y ejemplos integrados.</w:t>
      </w:r>
    </w:p>
    <w:p>
      <w:pPr>
        <w:pStyle w:val="ListParagraph"/>
        <w:numPr>
          <w:ilvl w:val="0"/>
          <w:numId w:val="5"/>
        </w:numPr>
        <w:ind w:left="284" w:hanging="284"/>
        <w:jc w:val="both"/>
        <w:rPr/>
      </w:pPr>
      <w:r>
        <w:rPr>
          <w:rFonts w:cs="Arial"/>
          <w:sz w:val="22"/>
          <w:szCs w:val="22"/>
        </w:rPr>
        <w:t xml:space="preserve">Cuestiones o problemas resueltos por los alumnos en clase, con la posibilidad de preguntar todas sus dudas de forma individual.  </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 xml:space="preserve">Clase Invertida. </w:t>
      </w:r>
    </w:p>
    <w:p>
      <w:pPr>
        <w:pStyle w:val="ListParagraph"/>
        <w:ind w:left="0" w:hanging="0"/>
        <w:jc w:val="both"/>
        <w:rPr/>
      </w:pPr>
      <w:r>
        <w:rPr>
          <w:rFonts w:cs="Arial"/>
          <w:sz w:val="22"/>
          <w:szCs w:val="22"/>
        </w:rPr>
        <w:t xml:space="preserve">En alguna parte de las unidades didácticas se les manda un texto o textos a leer, simulaciones, videos para trabajar en casa y al día siguiente en clase se empieza resolviendo problemas o cuestiones sobre lo trabajado en casa </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 xml:space="preserve">Grupos interactivos. </w:t>
      </w:r>
    </w:p>
    <w:p>
      <w:pPr>
        <w:pStyle w:val="ListParagraph"/>
        <w:ind w:left="0" w:hanging="0"/>
        <w:jc w:val="both"/>
        <w:rPr/>
      </w:pPr>
      <w:r>
        <w:rPr>
          <w:rFonts w:cs="Arial"/>
          <w:sz w:val="22"/>
          <w:szCs w:val="22"/>
        </w:rPr>
        <w:t>Se realizan grupos heterogéneos con un adulto para facilitar el aprendizaje pues un uso correcto de la comunicación facilita la comprensión. Estos grupos está demostrado que son buenos para los alumnos, pues al verse forzados a explicar, interiorizan mejor lo aprendido y los alumnos que van peor al tener una comunicación de los contenidos en un nivel más próximo ven favorecida la comprensión de los contenidos.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 xml:space="preserve">Laboratorio, </w:t>
      </w:r>
    </w:p>
    <w:p>
      <w:pPr>
        <w:pStyle w:val="ListParagraph"/>
        <w:ind w:left="0" w:hanging="0"/>
        <w:jc w:val="both"/>
        <w:rPr/>
      </w:pPr>
      <w:r>
        <w:rPr>
          <w:rFonts w:cs="Arial"/>
          <w:sz w:val="22"/>
          <w:szCs w:val="22"/>
        </w:rPr>
        <w:t xml:space="preserve">Uso de experiencias diseñadas para entender mejor lo aprendido, ver la parte experimental de la Química, trabajar en pareja y elaborar el guion de prácticas. Esto les sirve para aprender y como agente motivador. La Química es una ciencia experimental y la adquisición de conocimientos debe estar ligada a la práctica en un laboratorio. Se utiliza el laboratorio para afianzar contenidos, si llevamos pequeñas practicas a clase la utilidad es aclarar ideas o plantear problemas iniciales. La elaboración de los guiones de prácticas les ayuda a expresarse de forma científica adecuada. Se entregara un documento con las pautas para realizar de forma correcta un buen guion de prácticas y las normas del laboratorio. </w:t>
      </w:r>
    </w:p>
    <w:p>
      <w:pPr>
        <w:pStyle w:val="Normal"/>
        <w:tabs>
          <w:tab w:val="clear" w:pos="720"/>
          <w:tab w:val="left" w:pos="284" w:leader="none"/>
        </w:tabs>
        <w:ind w:firstLine="284"/>
        <w:jc w:val="both"/>
        <w:rPr/>
      </w:pPr>
      <w:r>
        <w:rPr>
          <w:rFonts w:eastAsia="Cambria" w:cs="Arial"/>
          <w:color w:val="000000"/>
          <w:sz w:val="22"/>
          <w:szCs w:val="22"/>
        </w:rPr>
        <w:t>No obstante, se potenciarán principalmente las actividades que se encaminen a un desarrollo autónomo del alumno. Se utilizarán, asimismo, diversos recursos (libros de texto, fotocopias, medios de comunicación, Internet, presentaciones,…)</w:t>
      </w:r>
    </w:p>
    <w:p>
      <w:pPr>
        <w:pStyle w:val="Normal"/>
        <w:jc w:val="both"/>
        <w:rPr/>
      </w:pPr>
      <w:r>
        <w:rPr>
          <w:rFonts w:eastAsia="Cambria" w:cs="Cambria" w:ascii="Cambria" w:hAnsi="Cambria"/>
          <w:b/>
          <w:u w:val="single"/>
        </w:rPr>
        <w:t>10. CONCRECIÓN DEL PLAN DE IMPLEMENTACIÓN DE ELEMENTOS TRANSVERSALES</w:t>
      </w:r>
    </w:p>
    <w:p>
      <w:pPr>
        <w:pStyle w:val="Normal"/>
        <w:tabs>
          <w:tab w:val="clear" w:pos="720"/>
          <w:tab w:val="left" w:pos="284" w:leader="none"/>
        </w:tabs>
        <w:ind w:firstLine="284"/>
        <w:jc w:val="both"/>
        <w:rPr/>
      </w:pPr>
      <w:r>
        <w:rPr>
          <w:sz w:val="22"/>
          <w:szCs w:val="22"/>
        </w:rPr>
        <w:t xml:space="preserve">Dado que es fundamental la competencia en comunicación lingüística en la formación del alumnado, en el Plan Lector específico de la materia de Física y Química </w:t>
      </w:r>
    </w:p>
    <w:p>
      <w:pPr>
        <w:pStyle w:val="Normal"/>
        <w:numPr>
          <w:ilvl w:val="0"/>
          <w:numId w:val="4"/>
        </w:numPr>
        <w:tabs>
          <w:tab w:val="clear" w:pos="720"/>
          <w:tab w:val="left" w:pos="284" w:leader="none"/>
        </w:tabs>
        <w:jc w:val="both"/>
        <w:rPr/>
      </w:pPr>
      <w:r>
        <w:rPr>
          <w:sz w:val="22"/>
          <w:szCs w:val="22"/>
        </w:rPr>
        <w:t xml:space="preserve">Lectura de textos relacionados con el conocimiento científico y las relaciones entre ciencia, tecnología y sociedad. Posteriormente se realizarán actividades de comprensión, así como el planteamiento de preguntas relacionadas con el texto que puedan afectar a la vida cotidiana de los alumnos/as o que puedan suscitar determinados debates. </w:t>
      </w:r>
    </w:p>
    <w:p>
      <w:pPr>
        <w:pStyle w:val="Normal"/>
        <w:numPr>
          <w:ilvl w:val="0"/>
          <w:numId w:val="4"/>
        </w:numPr>
        <w:tabs>
          <w:tab w:val="clear" w:pos="720"/>
          <w:tab w:val="left" w:pos="284" w:leader="none"/>
        </w:tabs>
        <w:jc w:val="both"/>
        <w:rPr/>
      </w:pPr>
      <w:r>
        <w:rPr>
          <w:sz w:val="22"/>
          <w:szCs w:val="22"/>
        </w:rPr>
        <w:t xml:space="preserve">Se leerán en determinadas unidades didácticas fragmentos de libros de divulgación científica facilitados por el docente. Estos fragmentos abordan algunos de los contenidos de la asignatura de una forma diferente y amena, pudiendo suscitar el interés por la lectura de dichos libros fuera del horario escolar por parte de los alumnos/as. En esta línea, resultan especialmente interesantes las biografías de grandes científicos/as como Marie Curie y Antoine-Laurent Lavoisier. Dado que algunos ejemplares de este tipo de libros se encuentran disponibles en la biblioteca del centro, se podrá considerar como una actividad de ampliación voluntaria la lectura y comprensión de algunos capítulos de estos ejemplares. </w:t>
      </w:r>
    </w:p>
    <w:p>
      <w:pPr>
        <w:pStyle w:val="Normal"/>
        <w:tabs>
          <w:tab w:val="clear" w:pos="720"/>
          <w:tab w:val="left" w:pos="284" w:leader="none"/>
        </w:tabs>
        <w:ind w:firstLine="284"/>
        <w:jc w:val="both"/>
        <w:rPr/>
      </w:pPr>
      <w:r>
        <w:rPr>
          <w:rFonts w:eastAsia="Cambria" w:cs="Cambria" w:ascii="Cambria" w:hAnsi="Cambria"/>
          <w:sz w:val="22"/>
          <w:szCs w:val="22"/>
        </w:rPr>
        <w:t>La presentación de los trabajos tanto escritos como orales se realizará siguiendo las pautas y recomendaciones recogidas en el Proyecto Lingüístico del centro.</w:t>
      </w:r>
    </w:p>
    <w:p>
      <w:pPr>
        <w:pStyle w:val="Normal"/>
        <w:jc w:val="both"/>
        <w:rPr/>
      </w:pPr>
      <w:r>
        <w:rPr>
          <w:rFonts w:eastAsia="Cambria" w:cs="Cambria" w:ascii="Cambria" w:hAnsi="Cambria"/>
          <w:b/>
          <w:u w:val="single"/>
        </w:rPr>
        <w:t>11. CONCRECIÓN DEL PLAN DE UTILIZACIÓN DE LAS TECNOLOGÍAS DIGITALES</w:t>
      </w:r>
      <w:r>
        <w:rPr>
          <w:rFonts w:eastAsia="Cambria" w:cs="Cambria" w:ascii="Cambria" w:hAnsi="Cambria"/>
        </w:rPr>
        <w:t xml:space="preserve"> </w:t>
      </w:r>
    </w:p>
    <w:p>
      <w:pPr>
        <w:pStyle w:val="Normal"/>
        <w:jc w:val="both"/>
        <w:rPr/>
      </w:pPr>
      <w:r>
        <w:rPr>
          <w:rFonts w:eastAsia="Cambria" w:cs="Cambria" w:ascii="Cambria" w:hAnsi="Cambria"/>
        </w:rPr>
        <w:t>.</w:t>
      </w:r>
      <w:r>
        <w:rPr>
          <w:rFonts w:eastAsia="Cambria" w:cs="Arial"/>
          <w:sz w:val="22"/>
          <w:szCs w:val="22"/>
        </w:rPr>
        <w:t xml:space="preserve">En consonancia con las características del actual contexto socio-cultural y, por consiguiente, con las inquietudes e intereses de los alumnos, es importante integrar las nuevas tecnologías en el aula. </w:t>
      </w:r>
    </w:p>
    <w:p>
      <w:pPr>
        <w:pStyle w:val="Normal"/>
        <w:jc w:val="both"/>
        <w:rPr/>
      </w:pPr>
      <w:r>
        <w:rPr>
          <w:rFonts w:cs="Arial"/>
          <w:sz w:val="22"/>
          <w:szCs w:val="22"/>
        </w:rPr>
        <w:t xml:space="preserve">Los alumnos utilizarán el ordenador para la </w:t>
      </w:r>
      <w:r>
        <w:rPr>
          <w:rFonts w:cs="Arial"/>
          <w:b/>
          <w:sz w:val="22"/>
          <w:szCs w:val="22"/>
        </w:rPr>
        <w:t>búsqueda y selección de informaciones</w:t>
      </w:r>
      <w:r>
        <w:rPr>
          <w:rFonts w:cs="Arial"/>
          <w:sz w:val="22"/>
          <w:szCs w:val="22"/>
        </w:rPr>
        <w:t xml:space="preserve"> necesarias para la elaboración y realización de prácticas de laboratorio así como </w:t>
      </w:r>
      <w:r>
        <w:rPr>
          <w:rFonts w:cs="Arial"/>
          <w:b/>
          <w:sz w:val="22"/>
          <w:szCs w:val="22"/>
        </w:rPr>
        <w:t>medio de consulta</w:t>
      </w:r>
      <w:r>
        <w:rPr>
          <w:rFonts w:cs="Arial"/>
          <w:sz w:val="22"/>
          <w:szCs w:val="22"/>
        </w:rPr>
        <w:t>. Esta labor será realizada frecuentemente fuera del horario lectivo, aunque también se podrá realizar dentro de alguna sesión.</w:t>
      </w:r>
    </w:p>
    <w:p>
      <w:pPr>
        <w:pStyle w:val="Normal"/>
        <w:jc w:val="both"/>
        <w:rPr/>
      </w:pPr>
      <w:r>
        <w:rPr>
          <w:rFonts w:cs="Arial"/>
          <w:sz w:val="22"/>
          <w:szCs w:val="22"/>
        </w:rPr>
        <w:t xml:space="preserve">El profesor utilizará en el aula el ordenador fijo de aula y el proyector para la </w:t>
      </w:r>
      <w:r>
        <w:rPr>
          <w:rFonts w:cs="Arial"/>
          <w:b/>
          <w:sz w:val="22"/>
          <w:szCs w:val="22"/>
        </w:rPr>
        <w:t>ilustración y/ o ampliación de determinados contenidos</w:t>
      </w:r>
      <w:r>
        <w:rPr>
          <w:rFonts w:cs="Arial"/>
          <w:sz w:val="22"/>
          <w:szCs w:val="22"/>
        </w:rPr>
        <w:t xml:space="preserve"> de la programación. Los alumnos podrán utilizarlo si resulta necesario para la </w:t>
      </w:r>
      <w:r>
        <w:rPr>
          <w:rFonts w:cs="Arial"/>
          <w:b/>
          <w:sz w:val="22"/>
          <w:szCs w:val="22"/>
        </w:rPr>
        <w:t>presentación</w:t>
      </w:r>
      <w:r>
        <w:rPr>
          <w:rFonts w:cs="Arial"/>
          <w:sz w:val="22"/>
          <w:szCs w:val="22"/>
        </w:rPr>
        <w:t xml:space="preserve"> de alguno de sus </w:t>
      </w:r>
      <w:r>
        <w:rPr>
          <w:rFonts w:cs="Arial"/>
          <w:b/>
          <w:sz w:val="22"/>
          <w:szCs w:val="22"/>
        </w:rPr>
        <w:t>trabajos</w:t>
      </w:r>
      <w:r>
        <w:rPr>
          <w:rFonts w:cs="Arial"/>
          <w:sz w:val="22"/>
          <w:szCs w:val="22"/>
        </w:rPr>
        <w:t>, si previamente se ha indicado que pueden o deben ser presentados en ese formato.</w:t>
      </w:r>
    </w:p>
    <w:p>
      <w:pPr>
        <w:pStyle w:val="Normal"/>
        <w:jc w:val="both"/>
        <w:rPr/>
      </w:pPr>
      <w:r>
        <w:rPr>
          <w:rFonts w:cs="Arial"/>
          <w:sz w:val="22"/>
          <w:szCs w:val="22"/>
        </w:rPr>
        <w:t xml:space="preserve">Los alumnos tendrán un </w:t>
      </w:r>
      <w:r>
        <w:rPr>
          <w:rFonts w:cs="Arial"/>
          <w:b/>
          <w:sz w:val="22"/>
          <w:szCs w:val="22"/>
        </w:rPr>
        <w:t>grupo de whasapp con la participación del profesor</w:t>
      </w:r>
      <w:r>
        <w:rPr>
          <w:rFonts w:cs="Arial"/>
          <w:sz w:val="22"/>
          <w:szCs w:val="22"/>
        </w:rPr>
        <w:t xml:space="preserve"> para </w:t>
      </w:r>
      <w:r>
        <w:rPr>
          <w:rFonts w:cs="Arial"/>
          <w:b/>
          <w:sz w:val="22"/>
          <w:szCs w:val="22"/>
        </w:rPr>
        <w:t xml:space="preserve">resolver dudas </w:t>
      </w:r>
      <w:r>
        <w:rPr>
          <w:rFonts w:cs="Arial"/>
          <w:sz w:val="22"/>
          <w:szCs w:val="22"/>
        </w:rPr>
        <w:t xml:space="preserve">puntuales, sobre problemas o teoría. Se utilizara como si fuera un </w:t>
      </w:r>
      <w:r>
        <w:rPr>
          <w:rFonts w:cs="Arial"/>
          <w:b/>
          <w:sz w:val="22"/>
          <w:szCs w:val="22"/>
        </w:rPr>
        <w:t>grupo de trabajo</w:t>
      </w:r>
      <w:r>
        <w:rPr>
          <w:rFonts w:cs="Arial"/>
          <w:sz w:val="22"/>
          <w:szCs w:val="22"/>
        </w:rPr>
        <w:t>, donde compartir dudas y resoluciones.</w:t>
      </w:r>
    </w:p>
    <w:p>
      <w:pPr>
        <w:pStyle w:val="Normal"/>
        <w:jc w:val="both"/>
        <w:rPr/>
      </w:pPr>
      <w:r>
        <w:rPr>
          <w:rFonts w:cs="Arial"/>
          <w:sz w:val="22"/>
          <w:szCs w:val="22"/>
        </w:rPr>
        <w:t xml:space="preserve">Se colgarán diversos trabajos y aportaciones de los alumnos en las redes sociales del IES. </w:t>
      </w:r>
    </w:p>
    <w:p>
      <w:pPr>
        <w:pStyle w:val="Normal"/>
        <w:jc w:val="both"/>
        <w:rPr/>
      </w:pPr>
      <w:r>
        <w:rPr>
          <w:rFonts w:eastAsia="Cambria" w:cs="Cambria"/>
          <w:b/>
          <w:sz w:val="22"/>
          <w:szCs w:val="22"/>
          <w:u w:val="single"/>
        </w:rPr>
        <w:t>Se utiliza la plataforma Classroom para colgar apuntes, presentaciones, las colecciones de</w:t>
      </w:r>
      <w:r>
        <w:rPr>
          <w:rFonts w:eastAsia="Cambria" w:cs="Arial"/>
          <w:sz w:val="22"/>
          <w:szCs w:val="22"/>
        </w:rPr>
        <w:t xml:space="preserve"> , problemas y cuestiones resueltos, enlaces a paginas web y cualquier material que se pueda compartir con los alumnos.</w:t>
      </w:r>
    </w:p>
    <w:p>
      <w:pPr>
        <w:pStyle w:val="Normal"/>
        <w:jc w:val="both"/>
        <w:rPr>
          <w:rFonts w:ascii="Calibri" w:hAnsi="Calibri" w:eastAsia="Cambria" w:cs="Arial"/>
          <w:sz w:val="22"/>
          <w:szCs w:val="22"/>
        </w:rPr>
      </w:pPr>
      <w:r>
        <w:rPr>
          <w:rFonts w:eastAsia="Cambria" w:cs="Arial"/>
          <w:sz w:val="22"/>
          <w:szCs w:val="22"/>
        </w:rPr>
      </w:r>
    </w:p>
    <w:p>
      <w:pPr>
        <w:pStyle w:val="Normal"/>
        <w:jc w:val="both"/>
        <w:rPr>
          <w:rFonts w:ascii="Calibri" w:hAnsi="Calibri" w:eastAsia="Cambria" w:cs="Arial"/>
          <w:sz w:val="22"/>
          <w:szCs w:val="22"/>
        </w:rPr>
      </w:pPr>
      <w:r>
        <w:rPr>
          <w:rFonts w:eastAsia="Cambria" w:cs="Arial"/>
          <w:sz w:val="22"/>
          <w:szCs w:val="22"/>
        </w:rPr>
      </w:r>
    </w:p>
    <w:p>
      <w:pPr>
        <w:pStyle w:val="Normal"/>
        <w:jc w:val="both"/>
        <w:rPr/>
      </w:pPr>
      <w:r>
        <w:rPr>
          <w:rFonts w:eastAsia="Cambria" w:cs="Cambria" w:ascii="Cambria" w:hAnsi="Cambria"/>
          <w:b/>
          <w:u w:val="single"/>
        </w:rPr>
        <w:t>12. MECANISMOS DE REVISIÓN, EVALUACIÓN Y MODIFICACIÓN DE LAS PROGRAMACIONES DIDÁCTICAS</w:t>
      </w:r>
    </w:p>
    <w:p>
      <w:pPr>
        <w:pStyle w:val="LOnormal"/>
        <w:jc w:val="both"/>
        <w:rPr/>
      </w:pPr>
      <w:r>
        <w:rPr>
          <w:rFonts w:eastAsia="Cambria" w:cs="Cambria"/>
          <w:color w:val="000000"/>
          <w:sz w:val="22"/>
          <w:szCs w:val="22"/>
        </w:rPr>
        <w:t xml:space="preserve">En primer lugar es necesario revisar la programación al principio del curso para comprobar que cumple con la legislación vigente (ya que puede ser modificada) y que está adaptada al grupo de alumnos del curso que se va a iniciar. En este momento se pueden realizar algunas modificaciones, especialmente en cuanto a las concreciones metodológicas y en relación a las Medidas de Atención a la Diversidad, con el fin de adaptar la Programación a la realidad del grupo antes de que sea incorporada a la Programación General Anual. </w:t>
      </w:r>
    </w:p>
    <w:p>
      <w:pPr>
        <w:pStyle w:val="LOnormal"/>
        <w:jc w:val="both"/>
        <w:rPr/>
      </w:pPr>
      <w:r>
        <w:rPr>
          <w:rFonts w:eastAsia="Cambria" w:cs="Cambria"/>
          <w:color w:val="000000"/>
          <w:sz w:val="22"/>
          <w:szCs w:val="22"/>
        </w:rPr>
        <w:t xml:space="preserve">Durante el desarrollo del curso, el grado de cumplimiento de la programación de cada materia se valora mensualmente en una de las Reuniones de Departamento. De esta forma se pueden detectar desviaciones entre los diferentes grupos de un mismo nivel, por ejemplo. </w:t>
      </w:r>
    </w:p>
    <w:p>
      <w:pPr>
        <w:pStyle w:val="LOnormal"/>
        <w:jc w:val="both"/>
        <w:rPr/>
      </w:pPr>
      <w:r>
        <w:rPr>
          <w:rFonts w:eastAsia="Cambria" w:cs="Cambria"/>
          <w:color w:val="000000"/>
          <w:sz w:val="22"/>
          <w:szCs w:val="22"/>
        </w:rPr>
        <w:t xml:space="preserve">Al menos en una ocasión durante el curso, los alumnos/as de cada grupo podrán contestar voluntariamente a unos cuestionarios online en relación al proceso enseñanza-aprendizaje, al clima de clase y a su propio esfuerzo. Las respuestas de los alumnos/as a estos cuestionarios son un elemento muy valioso como retroalimentación de lo planteado en esta Programación (actividades, metodología, secuenciación, evaluación, etc.) y de la labor docente. El análisis de estas respuestas puede servir para corregir errores sistemáticos, para incorporar mejoras propuestas por los alumnos/as y, en definitiva, para optimizar la Programación Didáctica y el proceso enseñanza-aprendizaje. </w:t>
      </w:r>
    </w:p>
    <w:p>
      <w:pPr>
        <w:pStyle w:val="LOnormal"/>
        <w:jc w:val="both"/>
        <w:rPr/>
      </w:pPr>
      <w:r>
        <w:rPr>
          <w:rFonts w:eastAsia="Cambria" w:cs="Cambria"/>
          <w:color w:val="000000"/>
          <w:sz w:val="22"/>
          <w:szCs w:val="22"/>
        </w:rPr>
        <w:t xml:space="preserve">Por otra parte, se realizará una evaluación de los resultados académicos obtenidos por los diferentes grupos de alumnos/as en la materia en este curso, comparándolos con los obtenidos en años anteriores y con la media de la comunidad autónoma de Aragón para cada nivel. Como consecuencia de dicho análisis se establecerán una serie de medidas destinadas a la mejora de dichos resultados que aparecerán recogidas en la Memoria del Departamento. </w:t>
      </w:r>
    </w:p>
    <w:p>
      <w:pPr>
        <w:pStyle w:val="LOnormal"/>
        <w:jc w:val="both"/>
        <w:rPr/>
      </w:pPr>
      <w:r>
        <w:rPr>
          <w:rFonts w:eastAsia="Cambria" w:cs="Cambria"/>
          <w:color w:val="000000"/>
          <w:sz w:val="22"/>
          <w:szCs w:val="22"/>
        </w:rPr>
        <w:t xml:space="preserve">Finalmente, se procederá a revisar la programación una vez que el curso haya terminado para la elaboración de la Memoria del Departamento. En este punto y a la vista del grado de cumplimiento global de la programación, de los resultados académicos del grupo, de las evaluaciones de los alumnos se puede hacer una valoración más nítida y precisa del proceso enseñanza-aprendizaje. Es en ese momento cuando se pueden proponer modificaciones de la programación como respuesta a desajustes o a propuestas de alumnos/as o de otros docentes del departamento. No obstante, cualquier modificación significativa deberá tener una justificación que la considere necesaria. </w:t>
      </w:r>
    </w:p>
    <w:p>
      <w:pPr>
        <w:pStyle w:val="Normal"/>
        <w:jc w:val="both"/>
        <w:rPr/>
      </w:pPr>
      <w:r>
        <w:rPr>
          <w:rFonts w:eastAsia="Cambria" w:cs="Cambria" w:ascii="Cambria" w:hAnsi="Cambria"/>
          <w:b/>
          <w:u w:val="single"/>
        </w:rPr>
        <w:t>13. ACTIVIDADES COMPLEMENTARIAS Y EXTRAESCOLARES</w:t>
      </w:r>
    </w:p>
    <w:p>
      <w:pPr>
        <w:pStyle w:val="Normal"/>
        <w:jc w:val="both"/>
        <w:rPr/>
      </w:pPr>
      <w:r>
        <w:rPr>
          <w:rFonts w:eastAsia="Cambria" w:cs="Cambria" w:ascii="Cambria" w:hAnsi="Cambria"/>
        </w:rPr>
        <w:t>Se realizara una visita al CSIC</w:t>
      </w:r>
    </w:p>
    <w:p>
      <w:pPr>
        <w:pStyle w:val="Normal"/>
        <w:jc w:val="both"/>
        <w:rPr/>
      </w:pPr>
      <w:r>
        <w:rPr>
          <w:rFonts w:eastAsia="Cambria" w:cs="Cambria" w:ascii="Cambria" w:hAnsi="Cambria"/>
        </w:rPr>
        <w:t xml:space="preserve">Si no fiera posible por no tener plazas se realizara una visita a uno de los institutos de investigación de Aragon. O una visita de algún investigador al centro </w:t>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pPr>
      <w:r>
        <w:rPr>
          <w:rFonts w:eastAsia="Cambria" w:cs="Cambria" w:ascii="Cambria" w:hAnsi="Cambria"/>
          <w:b/>
          <w:smallCaps/>
          <w:u w:val="single"/>
        </w:rPr>
        <w:t>14. FORMA EN LA QUE SE DAN A CONOCER LOS ASPECTOS RELEVANTES DE ESTA PROGRAMACIÓN AL ALUMNADO Y LAS FAMILIAS</w:t>
      </w:r>
    </w:p>
    <w:p>
      <w:pPr>
        <w:pStyle w:val="Normal"/>
        <w:jc w:val="both"/>
        <w:rPr/>
      </w:pPr>
      <w:r>
        <w:rPr>
          <w:rFonts w:eastAsia="Cambria" w:cs="Cambria"/>
          <w:sz w:val="22"/>
          <w:szCs w:val="22"/>
        </w:rPr>
        <w:t xml:space="preserve">Los criterios de Calificación, instrumentos de evaluación se dan a conocer el primer  día del curso a los alumnos. </w:t>
      </w:r>
    </w:p>
    <w:p>
      <w:pPr>
        <w:pStyle w:val="Normal"/>
        <w:jc w:val="both"/>
        <w:rPr/>
      </w:pPr>
      <w:r>
        <w:rPr>
          <w:rFonts w:eastAsia="Cambria" w:cs="Cambria"/>
          <w:sz w:val="22"/>
          <w:szCs w:val="22"/>
        </w:rPr>
        <w:t xml:space="preserve">Ademas se informa de que están colgados de la pagina web del instituto  </w:t>
      </w:r>
    </w:p>
    <w:p>
      <w:pPr>
        <w:sectPr>
          <w:headerReference w:type="default" r:id="rId8"/>
          <w:footerReference w:type="default" r:id="rId9"/>
          <w:footnotePr>
            <w:numFmt w:val="decimal"/>
          </w:footnotePr>
          <w:type w:val="nextPage"/>
          <w:pgSz w:w="11906" w:h="16838"/>
          <w:pgMar w:left="1701" w:right="1701" w:header="708" w:top="1417" w:footer="708" w:bottom="1417" w:gutter="0"/>
          <w:pgNumType w:start="1" w:fmt="decimal"/>
          <w:formProt w:val="false"/>
          <w:titlePg/>
          <w:textDirection w:val="lrTb"/>
          <w:docGrid w:type="default" w:linePitch="100" w:charSpace="4096"/>
        </w:sectPr>
        <w:pStyle w:val="Normal"/>
        <w:widowControl/>
        <w:pBdr/>
        <w:shd w:val="clear" w:fill="auto"/>
        <w:spacing w:lineRule="auto" w:line="240" w:before="0" w:after="200"/>
        <w:ind w:left="0" w:right="0" w:hanging="0"/>
        <w:jc w:val="both"/>
        <w:rPr/>
      </w:pPr>
      <w:r>
        <w:rPr/>
      </w:r>
    </w:p>
    <w:p>
      <w:pPr>
        <w:pStyle w:val="Normal"/>
        <w:rPr>
          <w:rFonts w:ascii="Arial" w:hAnsi="Arial"/>
          <w:sz w:val="20"/>
          <w:szCs w:val="20"/>
          <w:u w:val="single"/>
        </w:rPr>
      </w:pPr>
      <w:r>
        <w:rPr>
          <w:rFonts w:ascii="Arial" w:hAnsi="Arial"/>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tbl>
      <w:tblPr>
        <w:tblW w:w="8479" w:type="dxa"/>
        <w:jc w:val="left"/>
        <w:tblInd w:w="0" w:type="dxa"/>
        <w:tblCellMar>
          <w:top w:w="0" w:type="dxa"/>
          <w:left w:w="108" w:type="dxa"/>
          <w:bottom w:w="0" w:type="dxa"/>
          <w:right w:w="108" w:type="dxa"/>
        </w:tblCellMar>
        <w:tblLook w:firstRow="1" w:noVBand="1" w:lastRow="0" w:firstColumn="1" w:lastColumn="0" w:noHBand="0" w:val="04a0"/>
      </w:tblPr>
      <w:tblGrid>
        <w:gridCol w:w="3226"/>
        <w:gridCol w:w="5252"/>
      </w:tblGrid>
      <w:tr>
        <w:trPr>
          <w:trHeight w:val="2470" w:hRule="atLeast"/>
        </w:trPr>
        <w:tc>
          <w:tcPr>
            <w:tcW w:w="3226" w:type="dxa"/>
            <w:tcBorders>
              <w:top w:val="single" w:sz="8" w:space="0" w:color="4F81BD"/>
              <w:bottom w:val="single" w:sz="8" w:space="0" w:color="4F81BD"/>
            </w:tcBorders>
            <w:shd w:color="auto" w:fill="548DD4" w:val="clear"/>
          </w:tcPr>
          <w:p>
            <w:pPr>
              <w:pStyle w:val="Normal"/>
              <w:widowControl w:val="false"/>
              <w:jc w:val="center"/>
              <w:rPr/>
            </w:pPr>
            <w:r>
              <w:rPr>
                <w:rFonts w:ascii="Arial" w:hAnsi="Arial"/>
                <w:color w:val="FFFFFF"/>
                <w:sz w:val="20"/>
                <w:szCs w:val="20"/>
              </w:rPr>
              <w:t xml:space="preserve">IES LA PUEBLA DE  </w:t>
            </w:r>
          </w:p>
          <w:p>
            <w:pPr>
              <w:pStyle w:val="Normal"/>
              <w:widowControl w:val="false"/>
              <w:spacing w:before="0" w:after="200"/>
              <w:jc w:val="center"/>
              <w:rPr/>
            </w:pPr>
            <w:r>
              <w:rPr>
                <w:rFonts w:ascii="Arial" w:hAnsi="Arial"/>
                <w:color w:val="FFFFFF"/>
                <w:sz w:val="20"/>
                <w:szCs w:val="20"/>
              </w:rPr>
              <w:t xml:space="preserve">             </w:t>
            </w:r>
            <w:r>
              <w:rPr>
                <w:rFonts w:ascii="Arial" w:hAnsi="Arial"/>
                <w:color w:val="FFFFFF"/>
                <w:sz w:val="20"/>
                <w:szCs w:val="20"/>
              </w:rPr>
              <w:t>ALFINDÉN</w:t>
            </w:r>
          </w:p>
        </w:tc>
        <w:tc>
          <w:tcPr>
            <w:tcW w:w="5252" w:type="dxa"/>
            <w:tcBorders>
              <w:top w:val="single" w:sz="8" w:space="0" w:color="4F81BD"/>
              <w:bottom w:val="single" w:sz="8" w:space="0" w:color="4F81BD"/>
            </w:tcBorders>
            <w:shd w:color="auto" w:fill="auto" w:val="clear"/>
          </w:tcPr>
          <w:p>
            <w:pPr>
              <w:pStyle w:val="Normal"/>
              <w:widowControl w:val="false"/>
              <w:tabs>
                <w:tab w:val="clear" w:pos="720"/>
                <w:tab w:val="center" w:pos="4252" w:leader="none"/>
                <w:tab w:val="right" w:pos="8504" w:leader="none"/>
              </w:tabs>
              <w:rPr/>
            </w:pPr>
            <w:r>
              <w:rPr>
                <w:rFonts w:ascii="Cambria" w:hAnsi="Cambria"/>
                <w:color w:val="1F497D"/>
                <w:sz w:val="22"/>
                <w:szCs w:val="22"/>
              </w:rPr>
              <w:t>PROGRAMACIÓN DIDÁCTICA DE (NOMBRE DE MATERIA)</w:t>
            </w:r>
          </w:p>
          <w:p>
            <w:pPr>
              <w:pStyle w:val="Normal"/>
              <w:widowControl w:val="false"/>
              <w:tabs>
                <w:tab w:val="clear" w:pos="720"/>
                <w:tab w:val="center" w:pos="4252" w:leader="none"/>
                <w:tab w:val="right" w:pos="8504" w:leader="none"/>
              </w:tabs>
              <w:rPr>
                <w:rFonts w:ascii="Cambria" w:hAnsi="Cambria"/>
                <w:color w:val="1F497D"/>
                <w:sz w:val="22"/>
                <w:szCs w:val="22"/>
              </w:rPr>
            </w:pPr>
            <w:r>
              <w:rPr>
                <w:rFonts w:ascii="Cambria" w:hAnsi="Cambria"/>
                <w:color w:val="1F497D"/>
                <w:sz w:val="22"/>
                <w:szCs w:val="22"/>
              </w:rPr>
            </w:r>
          </w:p>
          <w:p>
            <w:pPr>
              <w:pStyle w:val="Normal"/>
              <w:widowControl w:val="false"/>
              <w:tabs>
                <w:tab w:val="clear" w:pos="720"/>
                <w:tab w:val="center" w:pos="4252" w:leader="none"/>
                <w:tab w:val="right" w:pos="8504" w:leader="none"/>
              </w:tabs>
              <w:rPr/>
            </w:pPr>
            <w:r>
              <w:rPr>
                <w:rFonts w:ascii="Cambria" w:hAnsi="Cambria"/>
                <w:color w:val="1F497D"/>
                <w:sz w:val="22"/>
                <w:szCs w:val="22"/>
              </w:rPr>
              <w:t>FÍSICA 2ºBCH</w:t>
            </w:r>
          </w:p>
          <w:p>
            <w:pPr>
              <w:pStyle w:val="Normal"/>
              <w:widowControl w:val="false"/>
              <w:tabs>
                <w:tab w:val="clear" w:pos="720"/>
                <w:tab w:val="center" w:pos="4252" w:leader="none"/>
                <w:tab w:val="right" w:pos="8504" w:leader="none"/>
              </w:tabs>
              <w:rPr>
                <w:rFonts w:ascii="Cambria" w:hAnsi="Cambria"/>
                <w:color w:val="1F497D"/>
                <w:sz w:val="22"/>
                <w:szCs w:val="22"/>
              </w:rPr>
            </w:pPr>
            <w:r>
              <w:rPr>
                <w:rFonts w:ascii="Cambria" w:hAnsi="Cambria"/>
                <w:color w:val="1F497D"/>
                <w:sz w:val="22"/>
                <w:szCs w:val="22"/>
              </w:rPr>
            </w:r>
          </w:p>
          <w:p>
            <w:pPr>
              <w:pStyle w:val="Normal"/>
              <w:widowControl w:val="false"/>
              <w:tabs>
                <w:tab w:val="clear" w:pos="720"/>
                <w:tab w:val="center" w:pos="4252" w:leader="none"/>
                <w:tab w:val="right" w:pos="8504" w:leader="none"/>
              </w:tabs>
              <w:rPr/>
            </w:pPr>
            <w:bookmarkStart w:id="15" w:name="_heading=h.gjdgxs4"/>
            <w:bookmarkEnd w:id="15"/>
            <w:r>
              <w:rPr>
                <w:rFonts w:ascii="Cambria" w:hAnsi="Cambria"/>
                <w:color w:val="1F497D"/>
                <w:sz w:val="22"/>
                <w:szCs w:val="22"/>
              </w:rPr>
              <w:t>CURSO 2025-2026</w:t>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spacing w:before="0" w:after="200"/>
              <w:rPr>
                <w:rFonts w:ascii="Cambria" w:hAnsi="Cambria"/>
                <w:sz w:val="22"/>
                <w:szCs w:val="22"/>
                <w:u w:val="single"/>
              </w:rPr>
            </w:pPr>
            <w:r>
              <w:rPr>
                <w:rFonts w:ascii="Cambria" w:hAnsi="Cambria"/>
                <w:sz w:val="22"/>
                <w:szCs w:val="22"/>
                <w:u w:val="single"/>
              </w:rPr>
            </w:r>
          </w:p>
        </w:tc>
      </w:tr>
    </w:tbl>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jc w:val="both"/>
        <w:rPr/>
      </w:pPr>
      <w:r>
        <w:br w:type="column"/>
      </w:r>
      <w:r>
        <w:rPr>
          <w:rFonts w:eastAsia="Cambria" w:cs="Cambria"/>
          <w:b/>
          <w:sz w:val="22"/>
          <w:szCs w:val="22"/>
          <w:u w:val="single"/>
        </w:rPr>
        <w:t>ÍNDICE</w:t>
      </w:r>
    </w:p>
    <w:p>
      <w:pPr>
        <w:pStyle w:val="Normal"/>
        <w:jc w:val="both"/>
        <w:rPr/>
      </w:pPr>
      <w:r>
        <w:rPr>
          <w:rFonts w:eastAsia="Cambria" w:cs="Cambria"/>
          <w:sz w:val="22"/>
          <w:szCs w:val="22"/>
        </w:rPr>
        <w:t>INTRODUCCIÓN</w:t>
      </w:r>
    </w:p>
    <w:p>
      <w:pPr>
        <w:pStyle w:val="Normal"/>
        <w:jc w:val="both"/>
        <w:rPr/>
      </w:pPr>
      <w:r>
        <w:rPr>
          <w:rFonts w:eastAsia="Cambria" w:cs="Cambria"/>
          <w:sz w:val="22"/>
          <w:szCs w:val="22"/>
        </w:rPr>
        <w:t>1. COMPETENCIAS ESPECÍFICAS Y CRITERIOS DE EVALUACIÓN ASOCIADOS A ELLAS</w:t>
      </w:r>
    </w:p>
    <w:p>
      <w:pPr>
        <w:pStyle w:val="Normal"/>
        <w:jc w:val="both"/>
        <w:rPr/>
      </w:pPr>
      <w:r>
        <w:rPr>
          <w:rFonts w:eastAsia="Cambria" w:cs="Cambria"/>
          <w:sz w:val="22"/>
          <w:szCs w:val="22"/>
        </w:rPr>
        <w:t>2. CONCRECIÓN, AGRUPAMIENTO Y SECUENCIACIÓN DE LOS SABERES BÁSICOS Y DE LOS CRITERIOS DE EVALUACIÓN EN UNIDADES DIDÁCTICAS</w:t>
      </w:r>
    </w:p>
    <w:p>
      <w:pPr>
        <w:pStyle w:val="Normal"/>
        <w:jc w:val="both"/>
        <w:rPr/>
      </w:pPr>
      <w:r>
        <w:rPr>
          <w:rFonts w:eastAsia="Cambria" w:cs="Cambria"/>
          <w:sz w:val="22"/>
          <w:szCs w:val="22"/>
        </w:rPr>
        <w:t>3. PROCEDIMIENTOS E INSTRUMENTOS DE EVALUACIÓN</w:t>
      </w:r>
    </w:p>
    <w:p>
      <w:pPr>
        <w:pStyle w:val="Normal"/>
        <w:jc w:val="both"/>
        <w:rPr/>
      </w:pPr>
      <w:r>
        <w:rPr>
          <w:rFonts w:eastAsia="Cambria" w:cs="Cambria"/>
          <w:sz w:val="22"/>
          <w:szCs w:val="22"/>
        </w:rPr>
        <w:t>4. CRITERIOS DE CALIFICACIÓN</w:t>
      </w:r>
    </w:p>
    <w:p>
      <w:pPr>
        <w:pStyle w:val="Normal"/>
        <w:jc w:val="both"/>
        <w:rPr/>
      </w:pPr>
      <w:r>
        <w:rPr>
          <w:rFonts w:eastAsia="Cambria" w:cs="Cambria"/>
          <w:sz w:val="22"/>
          <w:szCs w:val="22"/>
        </w:rPr>
        <w:t xml:space="preserve">5. </w:t>
      </w:r>
      <w:r>
        <w:rPr>
          <w:rFonts w:eastAsia="Cambria" w:cs="Cambria"/>
          <w:sz w:val="22"/>
          <w:szCs w:val="22"/>
        </w:rPr>
        <w:t>EVALUACIÓN INICIAL</w:t>
      </w:r>
    </w:p>
    <w:p>
      <w:pPr>
        <w:pStyle w:val="Normal"/>
        <w:jc w:val="both"/>
        <w:rPr/>
      </w:pPr>
      <w:r>
        <w:rPr>
          <w:rFonts w:eastAsia="Cambria" w:cs="Cambria"/>
          <w:sz w:val="22"/>
          <w:szCs w:val="22"/>
        </w:rPr>
        <w:t>6. EVALUACIÓN EXTRAORDINARIA</w:t>
      </w:r>
    </w:p>
    <w:p>
      <w:pPr>
        <w:pStyle w:val="Normal"/>
        <w:jc w:val="both"/>
        <w:rPr/>
      </w:pPr>
      <w:r>
        <w:rPr>
          <w:rFonts w:eastAsia="Cambria" w:cs="Cambria"/>
          <w:sz w:val="22"/>
          <w:szCs w:val="22"/>
        </w:rPr>
        <w:t>7. ACTUACIONES GENERALES</w:t>
      </w:r>
      <w:r>
        <w:rPr>
          <w:rFonts w:eastAsia="Cambria" w:cs="Cambria"/>
          <w:sz w:val="22"/>
          <w:szCs w:val="22"/>
        </w:rPr>
        <w:t xml:space="preserve"> DE ATENCIÓN A LAS DIFERENCIAS INDIVIDUALES Y ADAPTACIONES CURRICULARES </w:t>
      </w:r>
    </w:p>
    <w:p>
      <w:pPr>
        <w:pStyle w:val="Normal"/>
        <w:jc w:val="both"/>
        <w:rPr/>
      </w:pPr>
      <w:r>
        <w:rPr>
          <w:rFonts w:eastAsia="Cambria" w:cs="Cambria"/>
          <w:sz w:val="22"/>
          <w:szCs w:val="22"/>
        </w:rPr>
        <w:t>8. PLAN DE SEGUIMIENTO PARA EL ALUMNADO QUE NO HA PROMOCIONADO</w:t>
      </w:r>
    </w:p>
    <w:p>
      <w:pPr>
        <w:pStyle w:val="Normal"/>
        <w:jc w:val="both"/>
        <w:rPr/>
      </w:pPr>
      <w:r>
        <w:rPr>
          <w:rFonts w:eastAsia="Cambria" w:cs="Cambria"/>
          <w:sz w:val="22"/>
          <w:szCs w:val="22"/>
        </w:rPr>
        <w:t>9. PLAN DE REFUERZO PARA MATERIAS O ÁMBITOS NO SUPERADOS</w:t>
      </w:r>
    </w:p>
    <w:p>
      <w:pPr>
        <w:pStyle w:val="Normal"/>
        <w:jc w:val="both"/>
        <w:rPr/>
      </w:pPr>
      <w:r>
        <w:rPr>
          <w:rFonts w:eastAsia="Cambria" w:cs="Cambria"/>
          <w:sz w:val="22"/>
          <w:szCs w:val="22"/>
        </w:rPr>
        <w:t>10. ESTRATEGIAS DIDÁCTICAS Y METODOLÓGICAS</w:t>
      </w:r>
    </w:p>
    <w:p>
      <w:pPr>
        <w:pStyle w:val="Normal"/>
        <w:jc w:val="both"/>
        <w:rPr/>
      </w:pPr>
      <w:r>
        <w:rPr>
          <w:rFonts w:eastAsia="Cambria" w:cs="Cambria"/>
          <w:sz w:val="22"/>
          <w:szCs w:val="22"/>
        </w:rPr>
        <w:t>12. CONCRECIÓN DEL PLAN DE IMPLEMENTACIÓN DE ELEMENTOS TRANSVERSALES</w:t>
      </w:r>
    </w:p>
    <w:p>
      <w:pPr>
        <w:pStyle w:val="Normal"/>
        <w:jc w:val="both"/>
        <w:rPr/>
      </w:pPr>
      <w:r>
        <w:rPr>
          <w:rFonts w:eastAsia="Cambria" w:cs="Cambria"/>
          <w:sz w:val="22"/>
          <w:szCs w:val="22"/>
        </w:rPr>
        <w:t>13. CO</w:t>
      </w:r>
      <w:r>
        <w:rPr>
          <w:rFonts w:eastAsia="Cambria" w:cs="Cambria"/>
          <w:sz w:val="22"/>
          <w:szCs w:val="22"/>
        </w:rPr>
        <w:t xml:space="preserve">NCRECIÓN DEL PLAN DE UTILIZACIÓN DE LAS TECNOLOGÍAS DIGITALES </w:t>
      </w:r>
    </w:p>
    <w:p>
      <w:pPr>
        <w:pStyle w:val="Normal"/>
        <w:jc w:val="both"/>
        <w:rPr/>
      </w:pPr>
      <w:r>
        <w:rPr>
          <w:rFonts w:eastAsia="Cambria" w:cs="Cambria"/>
          <w:sz w:val="22"/>
          <w:szCs w:val="22"/>
        </w:rPr>
        <w:t>14. CONCRECIÓN DEL PLAN</w:t>
      </w:r>
    </w:p>
    <w:p>
      <w:pPr>
        <w:pStyle w:val="Normal"/>
        <w:jc w:val="both"/>
        <w:rPr/>
      </w:pPr>
      <w:r>
        <w:rPr>
          <w:rFonts w:eastAsia="Cambria" w:cs="Cambria"/>
          <w:sz w:val="22"/>
          <w:szCs w:val="22"/>
        </w:rPr>
        <w:t>15. MECANISMOS DE REV</w:t>
      </w:r>
      <w:r>
        <w:rPr>
          <w:rFonts w:eastAsia="Cambria" w:cs="Cambria"/>
          <w:sz w:val="22"/>
          <w:szCs w:val="22"/>
        </w:rPr>
        <w:t>ISIÓN, EVALUACIÓN Y MODIFICACIÓN DE LAS PROGRAMACIONES DIDÁCTICAS</w:t>
      </w:r>
    </w:p>
    <w:p>
      <w:pPr>
        <w:pStyle w:val="Normal"/>
        <w:jc w:val="both"/>
        <w:rPr/>
      </w:pPr>
      <w:r>
        <w:rPr>
          <w:rFonts w:eastAsia="Cambria" w:cs="Cambria"/>
          <w:sz w:val="22"/>
          <w:szCs w:val="22"/>
        </w:rPr>
        <w:t>16. ACTIVIDADES COMPLEMENTARIAS Y EXTRAESCOLARES</w:t>
      </w:r>
    </w:p>
    <w:p>
      <w:pPr>
        <w:pStyle w:val="Normal"/>
        <w:jc w:val="both"/>
        <w:rPr/>
      </w:pPr>
      <w:r>
        <w:rPr>
          <w:rFonts w:eastAsia="Cambria" w:cs="Cambria"/>
          <w:smallCaps/>
          <w:sz w:val="22"/>
          <w:szCs w:val="22"/>
        </w:rPr>
        <w:t>17. FORMA EN LA QUE SE DAN A CONOCER LOS ASPECTOS RELEVANTES DE ESTA PROGRAMACIÓN AL ALUMNADO Y LAS FAMILIAS</w:t>
      </w:r>
    </w:p>
    <w:p>
      <w:pPr>
        <w:pStyle w:val="Normal"/>
        <w:jc w:val="both"/>
        <w:rPr/>
      </w:pPr>
      <w:r>
        <w:rPr>
          <w:rFonts w:eastAsia="Cambria" w:cs="Cambria"/>
          <w:sz w:val="22"/>
          <w:szCs w:val="22"/>
        </w:rPr>
        <w:t>17. OTRAS CONSIDERACIONES</w:t>
      </w:r>
    </w:p>
    <w:p>
      <w:pPr>
        <w:pStyle w:val="Normal"/>
        <w:jc w:val="both"/>
        <w:rPr/>
      </w:pPr>
      <w:r>
        <w:br w:type="column"/>
      </w:r>
      <w:r>
        <w:rPr>
          <w:rFonts w:eastAsia="Cambria" w:cs="Cambria"/>
          <w:b/>
          <w:sz w:val="22"/>
          <w:szCs w:val="22"/>
          <w:u w:val="single"/>
        </w:rPr>
        <w:t>INTRODUCCIÓN</w:t>
      </w:r>
    </w:p>
    <w:p>
      <w:pPr>
        <w:pStyle w:val="Normal"/>
        <w:jc w:val="both"/>
        <w:rPr/>
      </w:pPr>
      <w:r>
        <w:rPr>
          <w:rFonts w:eastAsia="Cambria" w:cs="Cambria"/>
          <w:sz w:val="22"/>
          <w:szCs w:val="22"/>
        </w:rPr>
        <w:t xml:space="preserve">Programación Didáctica de Física de 2º de Bachillerato </w:t>
      </w:r>
    </w:p>
    <w:p>
      <w:pPr>
        <w:pStyle w:val="Normal"/>
        <w:jc w:val="both"/>
        <w:rPr/>
      </w:pPr>
      <w:r>
        <w:rPr>
          <w:rFonts w:eastAsia="Cambria" w:cs="Cambria"/>
          <w:sz w:val="22"/>
          <w:szCs w:val="22"/>
        </w:rPr>
        <w:t>La normativa básica para la elaboración de esta programación es:</w:t>
      </w:r>
    </w:p>
    <w:p>
      <w:pPr>
        <w:pStyle w:val="Normal"/>
        <w:jc w:val="both"/>
        <w:rPr/>
      </w:pPr>
      <w:r>
        <w:rPr>
          <w:sz w:val="22"/>
          <w:szCs w:val="22"/>
        </w:rPr>
        <w:t>La normativa básica para la elaboración de esta programación es la siguiente:</w:t>
      </w:r>
    </w:p>
    <w:p>
      <w:pPr>
        <w:pStyle w:val="Estiloparrafos"/>
        <w:spacing w:before="0" w:after="120"/>
        <w:ind w:left="720" w:hanging="0"/>
        <w:rPr/>
      </w:pPr>
      <w:r>
        <w:rPr>
          <w:rFonts w:ascii="Calibri" w:hAnsi="Calibri"/>
          <w:sz w:val="22"/>
          <w:szCs w:val="22"/>
        </w:rPr>
        <w:t>Ley Orgánica 2/2006, de 3 de mayo, de Educación.</w:t>
      </w:r>
    </w:p>
    <w:p>
      <w:pPr>
        <w:pStyle w:val="Estiloparrafos"/>
        <w:spacing w:before="0" w:after="120"/>
        <w:ind w:left="720" w:hanging="0"/>
        <w:rPr/>
      </w:pPr>
      <w:hyperlink r:id="rId10">
        <w:r>
          <w:rPr>
            <w:rStyle w:val="EnlacedeInternet"/>
            <w:rFonts w:eastAsia="Cambria" w:cs="Cambria" w:ascii="Calibri" w:hAnsi="Calibri"/>
            <w:i/>
            <w:color w:val="000000"/>
            <w:sz w:val="22"/>
            <w:szCs w:val="22"/>
            <w:u w:val="none"/>
          </w:rPr>
          <w:t>Real Decreto 243/2022, de 5 de abril, por el que se establece la ordenación y las enseñanzas mínimas del Bachillerato.</w:t>
        </w:r>
      </w:hyperlink>
    </w:p>
    <w:p>
      <w:pPr>
        <w:pStyle w:val="Normal"/>
        <w:jc w:val="both"/>
        <w:rPr/>
      </w:pPr>
      <w:r>
        <w:rPr>
          <w:rFonts w:eastAsia="Cambria" w:cs="Cambria"/>
          <w:b/>
          <w:sz w:val="22"/>
          <w:szCs w:val="22"/>
          <w:u w:val="single"/>
        </w:rPr>
        <w:t>1. COMPETENCIAS ESPECÍFICAS Y CRITERIOS DE EVALUACIÓN ASOCIADOS A ELLAS</w:t>
      </w:r>
    </w:p>
    <w:p>
      <w:pPr>
        <w:pStyle w:val="Ttulo1"/>
        <w:rPr/>
      </w:pPr>
      <w:r>
        <w:rPr>
          <w:sz w:val="22"/>
          <w:szCs w:val="22"/>
        </w:rPr>
        <w:t>I. Competencias específicas</w:t>
      </w:r>
    </w:p>
    <w:p>
      <w:pPr>
        <w:pStyle w:val="Ttulo2"/>
        <w:rPr/>
      </w:pPr>
      <w:r>
        <w:rPr>
          <w:sz w:val="22"/>
          <w:szCs w:val="22"/>
        </w:rPr>
        <w:t>Competencia específica de la materia Física 1:</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pPr>
      <w:r>
        <w:rPr>
          <w:b/>
          <w:sz w:val="22"/>
          <w:szCs w:val="22"/>
        </w:rPr>
        <w:t xml:space="preserve">CE.F.1. </w:t>
      </w:r>
      <w:r>
        <w:rPr>
          <w:sz w:val="22"/>
          <w:szCs w:val="22"/>
        </w:rPr>
        <w:t>Utilizar las teorías, principios y leyes que rigen los procesos físicos más importantes, considerando su base experimental y desarrollo matemático en la resolución de problemas, para reconocer la Física como una ciencia relevante implicada en el desarrollo de la tecnología, de la economía, de la sociedad y la sostenibilidad ambiental.</w:t>
      </w:r>
    </w:p>
    <w:p>
      <w:pPr>
        <w:pStyle w:val="Ttulo3"/>
        <w:rPr/>
      </w:pPr>
      <w:r>
        <w:rPr>
          <w:sz w:val="22"/>
          <w:szCs w:val="22"/>
        </w:rPr>
        <w:t>Descripción</w:t>
      </w:r>
    </w:p>
    <w:p>
      <w:pPr>
        <w:pStyle w:val="Normal"/>
        <w:rPr/>
      </w:pPr>
      <w:r>
        <w:rPr>
          <w:sz w:val="22"/>
          <w:szCs w:val="22"/>
        </w:rPr>
        <w:t>Utilizar los principios, leyes y teorías de la Física requiere de un amplio conocimiento de sus fundamentos teóricos. La capacidad de comprender y describir, a través de la experimentación o la utilización de desarrollos matemáticos, las interacciones que se producen entre cuerpos y sistemas en la naturaleza permite, a su vez, desarrollar el pensamiento científico para construir nuevo conocimiento aplicado a la resolución de problemas en los distintos contextos en los que interviene la Física. Esto implica apreciar la Física como un campo del saber con importantes implicaciones en la tecnología, la economía, la sociedad y la sostenibilidad ambiental.</w:t>
      </w:r>
    </w:p>
    <w:p>
      <w:pPr>
        <w:pStyle w:val="Normal"/>
        <w:rPr/>
      </w:pPr>
      <w:r>
        <w:rPr>
          <w:sz w:val="22"/>
          <w:szCs w:val="22"/>
        </w:rPr>
        <w:t>De esta forma, a partir de la comprensión de las implicaciones de la Física en otros campos de la vida cotidiana, se adquiere la capacidad de formarse una opinión fundamentada sobre las situaciones que afectan a cada contexto, lo que es necesario para desarrollar un pensamiento crítico y una actitud de contribuir al progreso a través del conocimiento científico adquirido, aportando soluciones sostenibles.</w:t>
      </w:r>
    </w:p>
    <w:p>
      <w:pPr>
        <w:pStyle w:val="Ttulo3"/>
        <w:rPr/>
      </w:pPr>
      <w:r>
        <w:rPr>
          <w:sz w:val="22"/>
          <w:szCs w:val="22"/>
        </w:rPr>
        <w:t>Vinculación con otras competencias</w:t>
      </w:r>
    </w:p>
    <w:p>
      <w:pPr>
        <w:pStyle w:val="Normal"/>
        <w:rPr/>
      </w:pPr>
      <w:r>
        <w:rPr>
          <w:sz w:val="22"/>
          <w:szCs w:val="22"/>
        </w:rPr>
        <w:t>Esta competencia junto con la CE.F.2. ponen de relieve el papel fundamental de la Física como ciencia que pretende dar respuesta a los fenómenos físicos de la naturaleza y a la aplicación de los mismos en el desarrollo de la tecnología. Esta competencia no se puede desarrollar en plenitud si no se tiene en cuenta la CE.F.6., ya que este curso realiza una recopilación de los conocimientos físicos que el ser humano ha realizado en su recorrido histórico, quedando patente la importancia de los mismos en el desarrollo de la sociedad actual.</w:t>
      </w:r>
    </w:p>
    <w:p>
      <w:pPr>
        <w:pStyle w:val="Normal"/>
        <w:rPr/>
      </w:pPr>
      <w:r>
        <w:rPr>
          <w:sz w:val="22"/>
          <w:szCs w:val="22"/>
        </w:rPr>
        <w:t>La materia de Física tiene vinculación con el desarrollo de la mayoría de materias científicas de la etapa y por ello se relaciona con muchas otras competencias específicas de otras materias. Su vinculación tal vez sea más estrecha con competencias específicas de la materia de Química, como la CE.Q.1, al trabajar con leyes y teorías que implican a ambos campos de estudio.  Por la presencia de las herramientas matemáticas en su desarrollo también se vincula con varias competencias específicas de la materia de Matemáticas, como la CE.M.1 y 2., la resolución de problemas de la vida diaria utilizando diferentes estrategias y formas de resolverlos y la verificación de la validez de los resultados.</w:t>
      </w:r>
    </w:p>
    <w:p>
      <w:pPr>
        <w:pStyle w:val="Ttulo3"/>
        <w:rPr/>
      </w:pPr>
      <w:r>
        <w:rPr>
          <w:sz w:val="22"/>
          <w:szCs w:val="22"/>
        </w:rPr>
        <w:t>Vinculación con los descriptores de las competencias clave</w:t>
      </w:r>
    </w:p>
    <w:p>
      <w:pPr>
        <w:pStyle w:val="Normal"/>
        <w:rPr/>
      </w:pPr>
      <w:r>
        <w:rPr>
          <w:sz w:val="22"/>
          <w:szCs w:val="22"/>
        </w:rPr>
        <w:t>Esta competencia específica se conecta con los siguientes descriptores: STEM1, STEM2, STEM3, CD5.</w:t>
      </w:r>
    </w:p>
    <w:p>
      <w:pPr>
        <w:pStyle w:val="Ttulo2"/>
        <w:rPr/>
      </w:pPr>
      <w:r>
        <w:rPr>
          <w:sz w:val="22"/>
          <w:szCs w:val="22"/>
        </w:rPr>
        <w:t>Competencia específica de la materia Física 2:</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pPr>
      <w:r>
        <w:rPr>
          <w:b/>
          <w:sz w:val="22"/>
          <w:szCs w:val="22"/>
        </w:rPr>
        <w:t xml:space="preserve">CE.F.2. </w:t>
      </w:r>
      <w:r>
        <w:rPr>
          <w:sz w:val="22"/>
          <w:szCs w:val="22"/>
        </w:rPr>
        <w:t>Adoptar los modelos, teorías y leyes aceptados de la Física como base de estudio de los sistemas naturales y predecir su evolución para inferir soluciones generales a los problemas cotidianos relacionados con las aplicaciones prácticas demandadas por la sociedad en el campo tecnológico, industrial y biosanitario.</w:t>
      </w:r>
    </w:p>
    <w:p>
      <w:pPr>
        <w:pStyle w:val="Ttulo3"/>
        <w:rPr/>
      </w:pPr>
      <w:r>
        <w:rPr>
          <w:sz w:val="22"/>
          <w:szCs w:val="22"/>
        </w:rPr>
        <w:t>Descripción</w:t>
      </w:r>
    </w:p>
    <w:p>
      <w:pPr>
        <w:pStyle w:val="Normal"/>
        <w:rPr/>
      </w:pPr>
      <w:r>
        <w:rPr>
          <w:sz w:val="22"/>
          <w:szCs w:val="22"/>
        </w:rPr>
        <w:t>El estudio de la Física, como ciencia de la naturaleza, debe proveer de la capacidad para analizar fenómenos que se producen en el entorno natural. Para ello, es necesario adoptar los modelos, teorías y leyes que forman los pilares fundamentales de este campo de conocimiento, y que a su vez permiten predecir la evolución de los sistemas y objetos naturales. Al mismo tiempo, esta adopción se produce cuando se desarrolla la capacidad de relacionar los fenómenos observados en situaciones cotidianas con los fundamentos y principios de la Física.</w:t>
      </w:r>
    </w:p>
    <w:p>
      <w:pPr>
        <w:pStyle w:val="Normal"/>
        <w:rPr/>
      </w:pPr>
      <w:r>
        <w:rPr>
          <w:sz w:val="22"/>
          <w:szCs w:val="22"/>
        </w:rPr>
        <w:t>Así, a partir del análisis de diversas situaciones particulares se adquiere la capacidad de inferir soluciones generales a los problemas cotidianos y que pueden redundar en aplicaciones prácticas necesarias para la sociedad y que darán lugar a productos y beneficios a través de su desarrollo desde el campo tecnológico, industrial o biosanitario.</w:t>
      </w:r>
    </w:p>
    <w:p>
      <w:pPr>
        <w:pStyle w:val="Ttulo3"/>
        <w:rPr/>
      </w:pPr>
      <w:r>
        <w:rPr>
          <w:sz w:val="22"/>
          <w:szCs w:val="22"/>
        </w:rPr>
        <w:t>Vinculación con otras competencias</w:t>
      </w:r>
    </w:p>
    <w:p>
      <w:pPr>
        <w:pStyle w:val="NormalWeb"/>
        <w:spacing w:beforeAutospacing="0" w:before="0" w:afterAutospacing="0" w:after="160"/>
        <w:jc w:val="both"/>
        <w:rPr/>
      </w:pPr>
      <w:r>
        <w:rPr>
          <w:rFonts w:cs="Calibri" w:ascii="Calibri" w:hAnsi="Calibri"/>
          <w:color w:val="000000"/>
          <w:sz w:val="22"/>
          <w:szCs w:val="22"/>
        </w:rPr>
        <w:t>Esta competencia junto con la CE.F.1., ponen de relieve el papel clave de la Física como una ciencia que pretende dar respuesta a los fenómenos físicos de la naturaleza y sus posibles aplicaciones en la mejora de la sociedad desde el punto de vista del desarrollo tecnológico. En este sentido, no se puede entender esta competencia sin tener en cuenta la CE.F.6., ya que, esta asignatura realiza un recorrido histórico en el desarrollo del conocimiento físico del universo y sus aplicaciones tecnológicas en la sociedad. </w:t>
      </w:r>
    </w:p>
    <w:p>
      <w:pPr>
        <w:pStyle w:val="NormalWeb"/>
        <w:spacing w:beforeAutospacing="0" w:before="0" w:afterAutospacing="0" w:after="160"/>
        <w:jc w:val="both"/>
        <w:rPr/>
      </w:pPr>
      <w:r>
        <w:rPr>
          <w:rFonts w:cs="Calibri" w:ascii="Calibri" w:hAnsi="Calibri"/>
          <w:color w:val="000000"/>
          <w:sz w:val="22"/>
          <w:szCs w:val="22"/>
        </w:rPr>
        <w:t>La materia de Física tiene vinculación con el desarrollo de la mayoría de materias científicas de la etapa y por ello se relaciona con muchas otras competencias específicas de otras materias. Su vinculación tal vez sea más estrecha con competencias específicas de la materia de Química, como la CE.Q.2, en la que se sugiere la adopción de los modelos, teorías y leyes aceptados como base de estudio de los sistemas naturales para inferir soluciones generales a problemas cotidianos. Por otro lado, también tiene vinculación con la CE.B.4. de la materia de Biología, al requerirse un pensamiento lógico-formal ante el planteamiento de hipótesis, el diseño experimental y la interpretación de resultados. Por último, también existe vinculación con las competencias de Matemáticas que vinculan la utilización de distintas formas de razonamiento lógico-matemático en la resolución de problemas.</w:t>
      </w:r>
    </w:p>
    <w:p>
      <w:pPr>
        <w:pStyle w:val="Ttulo3"/>
        <w:rPr/>
      </w:pPr>
      <w:r>
        <w:rPr>
          <w:sz w:val="22"/>
          <w:szCs w:val="22"/>
        </w:rPr>
        <w:t>Vinculación con los descriptores de las competencias clave</w:t>
      </w:r>
    </w:p>
    <w:p>
      <w:pPr>
        <w:pStyle w:val="Normal"/>
        <w:rPr/>
      </w:pPr>
      <w:r>
        <w:rPr>
          <w:sz w:val="22"/>
          <w:szCs w:val="22"/>
        </w:rPr>
        <w:t>Esta competencia específica se conecta con los siguientes descriptores: STEM2, STEM5, CPSAA3, CC4.</w:t>
      </w:r>
    </w:p>
    <w:p>
      <w:pPr>
        <w:pStyle w:val="Ttulo2"/>
        <w:rPr/>
      </w:pPr>
      <w:r>
        <w:rPr>
          <w:sz w:val="22"/>
          <w:szCs w:val="22"/>
        </w:rPr>
        <w:t>Competencia específica de la materia Física 3:</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pPr>
      <w:r>
        <w:rPr>
          <w:b/>
          <w:sz w:val="22"/>
          <w:szCs w:val="22"/>
        </w:rPr>
        <w:t xml:space="preserve">CE.F.3. </w:t>
      </w:r>
      <w:r>
        <w:rPr>
          <w:sz w:val="22"/>
          <w:szCs w:val="22"/>
        </w:rPr>
        <w:t>Utilizar el lenguaje de la Física con la formulación matemática de sus principios, magnitudes, unidades, ecuaciones, etc., para establecer una comunicación adecuada entre diferentes comunidades científicas y como una herramienta fundamental en la investigación.</w:t>
      </w:r>
    </w:p>
    <w:p>
      <w:pPr>
        <w:pStyle w:val="Ttulo3"/>
        <w:rPr/>
      </w:pPr>
      <w:r>
        <w:rPr>
          <w:sz w:val="22"/>
          <w:szCs w:val="22"/>
        </w:rPr>
        <w:t>Descripción</w:t>
      </w:r>
    </w:p>
    <w:p>
      <w:pPr>
        <w:pStyle w:val="Normal"/>
        <w:rPr/>
      </w:pPr>
      <w:r>
        <w:rPr>
          <w:sz w:val="22"/>
          <w:szCs w:val="22"/>
        </w:rPr>
        <w:t>El desarrollo de esta competencia específica pretende trasladar a los alumnos y a las alumnas un conjunto de criterios para el uso de formalismos con base científica, con la finalidad de poder plantear y discutir adecuadamente la resolución de problemas de Física y discutir sus aplicaciones en el mundo a su alrededor. Además, se pretende que valoren la universalidad del lenguaje matemático y su formulación para intercambiar planteamientos físicos y sus resoluciones en distintos entornos y medios.</w:t>
      </w:r>
    </w:p>
    <w:p>
      <w:pPr>
        <w:pStyle w:val="Normal"/>
        <w:rPr/>
      </w:pPr>
      <w:r>
        <w:rPr>
          <w:sz w:val="22"/>
          <w:szCs w:val="22"/>
        </w:rPr>
        <w:t>Integrar al alumnado en la participación colaborativa con la comunidad científica requiere de un código específico, riguroso y común que asegure la claridad de los mensajes que se intercambian entre sus miembros. Del mismo modo, con esta competencia específica se pretende atender a la demanda de los avances tecnológicos teniendo en cuenta la conservación del medioambiente.</w:t>
      </w:r>
    </w:p>
    <w:p>
      <w:pPr>
        <w:pStyle w:val="Ttulo3"/>
        <w:rPr/>
      </w:pPr>
      <w:r>
        <w:rPr>
          <w:sz w:val="22"/>
          <w:szCs w:val="22"/>
        </w:rPr>
        <w:t>Vinculación con otras competencias</w:t>
      </w:r>
    </w:p>
    <w:p>
      <w:pPr>
        <w:pStyle w:val="NormalWeb"/>
        <w:spacing w:beforeAutospacing="0" w:before="0" w:afterAutospacing="0" w:after="160"/>
        <w:jc w:val="both"/>
        <w:rPr/>
      </w:pPr>
      <w:r>
        <w:rPr>
          <w:rFonts w:cs="Calibri" w:ascii="Calibri" w:hAnsi="Calibri"/>
          <w:color w:val="000000"/>
          <w:sz w:val="22"/>
          <w:szCs w:val="22"/>
        </w:rPr>
        <w:t>Los conocimientos, destrezas y actitudes implícitos en esta competencia tienen conexión con otras competencias específicas de la materia de Física, como CE.F.1. y CE.F.4. El uso correcto de las unidades de medida, así como del resto de elementos propios del lenguaje científico, son fundamentales para conseguir el desarrollo de estas competencias al constituir la base para la elaboración de preguntas relevantes y a partir de ellas colaborar en los procesos de investigación utilizando un lenguaje común que permita una comunicación fluida y eficaz.</w:t>
      </w:r>
    </w:p>
    <w:p>
      <w:pPr>
        <w:pStyle w:val="NormalWeb"/>
        <w:spacing w:beforeAutospacing="0" w:before="0" w:afterAutospacing="0" w:after="160"/>
        <w:jc w:val="both"/>
        <w:rPr/>
      </w:pPr>
      <w:r>
        <w:rPr>
          <w:rFonts w:cs="Calibri" w:ascii="Calibri" w:hAnsi="Calibri"/>
          <w:color w:val="000000"/>
          <w:sz w:val="22"/>
          <w:szCs w:val="22"/>
        </w:rPr>
        <w:t>De la misma forma, la competencia específica CE.Q.3. de la materia de Química y la competencia específica CE.M.8. de la materia de matemáticas, también se valora la utilización de los códigos del lenguaje científico para establecer una adecuada comunicación entre comunidades científicas y como herramienta fundamental para trabajar en investigación.</w:t>
      </w:r>
    </w:p>
    <w:p>
      <w:pPr>
        <w:pStyle w:val="Ttulo3"/>
        <w:rPr/>
      </w:pPr>
      <w:r>
        <w:rPr>
          <w:sz w:val="22"/>
          <w:szCs w:val="22"/>
        </w:rPr>
        <w:t>Vinculación con los descriptores de las competencias clave</w:t>
      </w:r>
    </w:p>
    <w:p>
      <w:pPr>
        <w:pStyle w:val="Normal"/>
        <w:rPr/>
      </w:pPr>
      <w:r>
        <w:rPr>
          <w:sz w:val="22"/>
          <w:szCs w:val="22"/>
        </w:rPr>
        <w:t>Esta competencia específica se conecta con los siguientes descriptores: CCL1, CCL5, STEM1, STEM4, CD2.</w:t>
      </w:r>
    </w:p>
    <w:p>
      <w:pPr>
        <w:pStyle w:val="Ttulo2"/>
        <w:rPr/>
      </w:pPr>
      <w:r>
        <w:rPr>
          <w:sz w:val="22"/>
          <w:szCs w:val="22"/>
        </w:rPr>
        <w:t>Competencia específica de la materia Física 4:</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pPr>
      <w:r>
        <w:rPr>
          <w:b/>
          <w:sz w:val="22"/>
          <w:szCs w:val="22"/>
        </w:rPr>
        <w:t xml:space="preserve">CE.F.4. </w:t>
      </w:r>
      <w:r>
        <w:rPr>
          <w:sz w:val="22"/>
          <w:szCs w:val="22"/>
        </w:rPr>
        <w:t>Utilizar de forma autónoma, eficiente, crítica y responsable recursos en distintos formatos, plataformas digitales de información y de comunicación en el trabajo individual y colectivo para el fomento de la creatividad mediante la producción y el intercambio de materiales científicos y divulgativos que faciliten acercar la Física a la sociedad como un campo de conocimientos accesible.</w:t>
      </w:r>
    </w:p>
    <w:p>
      <w:pPr>
        <w:pStyle w:val="Ttulo3"/>
        <w:rPr/>
      </w:pPr>
      <w:r>
        <w:rPr>
          <w:sz w:val="22"/>
          <w:szCs w:val="22"/>
        </w:rPr>
        <w:t>Descripción</w:t>
      </w:r>
    </w:p>
    <w:p>
      <w:pPr>
        <w:pStyle w:val="Normal"/>
        <w:rPr/>
      </w:pPr>
      <w:r>
        <w:rPr>
          <w:sz w:val="22"/>
          <w:szCs w:val="22"/>
        </w:rPr>
        <w:t>Entre las capacidades que deben adquirirse en los nuevos contextos de enseñanza y aprendizaje actuales se encuentra la de utilizar plataformas y entornos virtuales de aprendizaje. Estas plataformas sirven de repositorio de recursos y materiales de distinto tipo y en distinto formato y son útiles para el aprendizaje de la Física, así como medios para el aprendizaje individual y social. Es necesario, pues, desarrollar la capacidad de utilizar estos recursos de forma autónoma y eficiente para facilitar el aprendizaje autorregulado y al mismo tiempo ser responsable en las interacciones con otros estudiantes o con otras estudiantes y con el profesorado.</w:t>
      </w:r>
    </w:p>
    <w:p>
      <w:pPr>
        <w:pStyle w:val="Normal"/>
        <w:rPr/>
      </w:pPr>
      <w:r>
        <w:rPr>
          <w:sz w:val="22"/>
          <w:szCs w:val="22"/>
        </w:rPr>
        <w:t>Al mismo tiempo, la producción y el intercambio de materiales científicos y divulgativos permiten acercar la Física de forma creativa a la sociedad, presentándola como un campo de conocimientos accesible.</w:t>
      </w:r>
    </w:p>
    <w:p>
      <w:pPr>
        <w:pStyle w:val="Ttulo3"/>
        <w:rPr/>
      </w:pPr>
      <w:r>
        <w:rPr>
          <w:sz w:val="22"/>
          <w:szCs w:val="22"/>
        </w:rPr>
        <w:t>Vinculación con otras competencias</w:t>
      </w:r>
    </w:p>
    <w:p>
      <w:pPr>
        <w:pStyle w:val="NormalWeb"/>
        <w:spacing w:beforeAutospacing="0" w:before="0" w:afterAutospacing="0" w:after="160"/>
        <w:jc w:val="both"/>
        <w:rPr/>
      </w:pPr>
      <w:r>
        <w:rPr>
          <w:rFonts w:cs="Calibri" w:ascii="Calibri" w:hAnsi="Calibri"/>
          <w:color w:val="000000"/>
          <w:sz w:val="22"/>
          <w:szCs w:val="22"/>
        </w:rPr>
        <w:t>Los conocimientos, destrezas y actitudes implícitos en esta competencia tienen conexión con otras competencias específicas de la materia de Física, como CE.F.1. y CE.F.3. El uso correcto y responsable de la información en la comunicación científica es fundamental, así como el desarrollo de las competencias necesarias para participar en procesos de investigación conjunta en el que exista una comunicación fluida y eficaz, ya sea entre expertos o en un formato divulgativo. </w:t>
      </w:r>
    </w:p>
    <w:p>
      <w:pPr>
        <w:pStyle w:val="NormalWeb"/>
        <w:spacing w:beforeAutospacing="0" w:before="0" w:afterAutospacing="0" w:after="160"/>
        <w:jc w:val="both"/>
        <w:rPr/>
      </w:pPr>
      <w:r>
        <w:rPr>
          <w:rFonts w:cs="Calibri" w:ascii="Calibri" w:hAnsi="Calibri"/>
          <w:color w:val="000000"/>
          <w:sz w:val="22"/>
          <w:szCs w:val="22"/>
        </w:rPr>
        <w:t>De la misma forma, la competencia específica CE.Q.3. de la materia de Química y la competencia específica CE.M.8. de la materia de matemáticas, también se valora la utilización de los códigos del lenguaje científico para establecer una adecuada comunicación entre comunidades científicas y como herramienta fundamental para trabajar en investigación.</w:t>
      </w:r>
    </w:p>
    <w:p>
      <w:pPr>
        <w:pStyle w:val="Ttulo3"/>
        <w:rPr/>
      </w:pPr>
      <w:r>
        <w:rPr>
          <w:sz w:val="22"/>
          <w:szCs w:val="22"/>
        </w:rPr>
        <w:t>Vinculación con los descriptores de las competencias clave</w:t>
      </w:r>
    </w:p>
    <w:p>
      <w:pPr>
        <w:pStyle w:val="Normal"/>
        <w:rPr/>
      </w:pPr>
      <w:r>
        <w:rPr>
          <w:sz w:val="22"/>
          <w:szCs w:val="22"/>
        </w:rPr>
        <w:t>Esta competencia específica se conecta con los siguientes descriptores: STEM3, STEM5, CD1, CD3, CPSAA5.</w:t>
      </w:r>
    </w:p>
    <w:p>
      <w:pPr>
        <w:pStyle w:val="Ttulo2"/>
        <w:rPr/>
      </w:pPr>
      <w:r>
        <w:rPr>
          <w:sz w:val="22"/>
          <w:szCs w:val="22"/>
        </w:rPr>
        <w:t>Competencia específica de la materia Física 5:</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pPr>
      <w:r>
        <w:rPr>
          <w:b/>
          <w:sz w:val="22"/>
          <w:szCs w:val="22"/>
        </w:rPr>
        <w:t xml:space="preserve">CE.F.5. </w:t>
      </w:r>
      <w:r>
        <w:rPr>
          <w:sz w:val="22"/>
          <w:szCs w:val="22"/>
        </w:rPr>
        <w:t>Aplicar técnicas de trabajo e indagación propias de la Física, así como la experimentación, el razonamiento lógico-matemático y la cooperación, en la resolución de problemas y la interpretación de situaciones relacionadas, para poner en valor el papel de la Física en una sociedad basada en valores éticos y sostenibles.</w:t>
      </w:r>
    </w:p>
    <w:p>
      <w:pPr>
        <w:pStyle w:val="Ttulo3"/>
        <w:rPr/>
      </w:pPr>
      <w:r>
        <w:rPr>
          <w:sz w:val="22"/>
          <w:szCs w:val="22"/>
        </w:rPr>
        <w:t>Descripción</w:t>
      </w:r>
    </w:p>
    <w:p>
      <w:pPr>
        <w:pStyle w:val="Normal"/>
        <w:rPr/>
      </w:pPr>
      <w:r>
        <w:rPr>
          <w:sz w:val="22"/>
          <w:szCs w:val="22"/>
        </w:rPr>
        <w:t>Las ciencias de la naturaleza tienen un carácter experimental intrínseco. Uno de los principales objetivos de cualquiera de estas disciplinas científicas es la explicación de los fenómenos naturales, lo que permite formular teorías y leyes para su aplicación en diferentes sistemas. El caso de la Física no es diferente, y es relevante trasladar a los alumnos y a las alumnas la curiosidad por los fenómenos que suceden en su entorno y en distintas escalas. Hay procesos físicos cotidianos que son reproducibles fácilmente y pueden ser explicados y descritos con base en los principios y leyes de la Física. También hay procesos que, aun no siendo reproducibles, están presentes en el entorno natural de forma generalizada y gracias a los laboratorios virtuales se pueden simular para aproximarse más fácilmente a su estudio.</w:t>
      </w:r>
    </w:p>
    <w:p>
      <w:pPr>
        <w:pStyle w:val="Normal"/>
        <w:rPr/>
      </w:pPr>
      <w:r>
        <w:rPr>
          <w:sz w:val="22"/>
          <w:szCs w:val="22"/>
        </w:rPr>
        <w:t>El trabajo experimental constituye un conjunto de etapas que fomentan la colaboración e intercambio de información, muy necesarias en los campos de investigación actuales. Para ello, se debe fomentar en su desarrollo la experimentación y estimación de los errores, la utilización de distintas fuentes documentales en varios idiomas y el uso de recursos tecnológicos. Finalmente, se debe plasmar la información en informes que recojan todo este proceso, lo que permitiría a los estudiantes y a las estudiantes formar, en un futuro, parte de la comunidad científica.</w:t>
      </w:r>
    </w:p>
    <w:p>
      <w:pPr>
        <w:pStyle w:val="Ttulo3"/>
        <w:rPr/>
      </w:pPr>
      <w:r>
        <w:rPr>
          <w:sz w:val="22"/>
          <w:szCs w:val="22"/>
        </w:rPr>
        <w:t>Vinculación con otras competencias</w:t>
      </w:r>
    </w:p>
    <w:p>
      <w:pPr>
        <w:pStyle w:val="NormalWeb"/>
        <w:spacing w:beforeAutospacing="0" w:before="0" w:afterAutospacing="0" w:after="160"/>
        <w:jc w:val="both"/>
        <w:rPr/>
      </w:pPr>
      <w:r>
        <w:rPr>
          <w:rFonts w:cs="Calibri" w:ascii="Calibri" w:hAnsi="Calibri"/>
          <w:color w:val="000000"/>
          <w:sz w:val="22"/>
          <w:szCs w:val="22"/>
        </w:rPr>
        <w:t>El uso del pensamiento científico para resolver problemas y explicar fenómenos relacionados con esta materia en un ambiente colaborativo de trabajo en equipo son las características que unen a esta competencia con competencias como la CE.F.1. o la CE.F.2. prestando un especial interés por la búsqueda de soluciones tecnológicas innovadoras y sostenibles para dar respuesta a necesidades concretas.</w:t>
      </w:r>
    </w:p>
    <w:p>
      <w:pPr>
        <w:pStyle w:val="NormalWeb"/>
        <w:spacing w:beforeAutospacing="0" w:before="0" w:afterAutospacing="0" w:after="160"/>
        <w:jc w:val="both"/>
        <w:rPr/>
      </w:pPr>
      <w:r>
        <w:rPr>
          <w:rFonts w:cs="Calibri" w:ascii="Calibri" w:hAnsi="Calibri"/>
          <w:color w:val="000000"/>
          <w:sz w:val="22"/>
          <w:szCs w:val="22"/>
        </w:rPr>
        <w:t>En relación a otras materias, esta competencia se vincula con la CE.B.4 de Biología, la CE.Q.1 de la materia de Química y con la CE.M.1 de la materia de Matemáticas, que priorizan la aplicación del pensamiento científico tomando como base el trabajo experimental y el razonamiento lógico-matemático para confirmar la relevancia de la ciencia en la explicación de fenómenos, en el desarrollo de la tecnología, de la sociedad y de la sostenibilidad ambiental.</w:t>
      </w:r>
    </w:p>
    <w:p>
      <w:pPr>
        <w:pStyle w:val="Ttulo3"/>
        <w:rPr/>
      </w:pPr>
      <w:r>
        <w:rPr>
          <w:sz w:val="22"/>
          <w:szCs w:val="22"/>
        </w:rPr>
        <w:t>Vinculación con los descriptores de las competencias clave</w:t>
      </w:r>
    </w:p>
    <w:p>
      <w:pPr>
        <w:pStyle w:val="Normal"/>
        <w:rPr/>
      </w:pPr>
      <w:r>
        <w:rPr>
          <w:sz w:val="22"/>
          <w:szCs w:val="22"/>
        </w:rPr>
        <w:t>Esta competencia específica se conecta con los siguientes descriptores: STEM1, CPSAA6, CC4, CE3.</w:t>
      </w:r>
    </w:p>
    <w:p>
      <w:pPr>
        <w:pStyle w:val="Ttulo2"/>
        <w:rPr/>
      </w:pPr>
      <w:r>
        <w:rPr>
          <w:sz w:val="22"/>
          <w:szCs w:val="22"/>
        </w:rPr>
        <w:t>Competencia específica de la materia Física 6:</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pPr>
      <w:r>
        <w:rPr>
          <w:b/>
          <w:sz w:val="22"/>
          <w:szCs w:val="22"/>
        </w:rPr>
        <w:t xml:space="preserve">CE.F.6. </w:t>
      </w:r>
      <w:r>
        <w:rPr>
          <w:sz w:val="22"/>
          <w:szCs w:val="22"/>
        </w:rPr>
        <w:t>Reconocer y analizar el carácter multidisciplinar de la Física, considerando su relevante recorrido histórico y sus contribuciones al avance del conocimiento científico como un proceso en continua evolución e innovación, para establecer unas bases de conocimiento y relación con otras disciplinas científicas.</w:t>
      </w:r>
    </w:p>
    <w:p>
      <w:pPr>
        <w:pStyle w:val="Ttulo3"/>
        <w:rPr/>
      </w:pPr>
      <w:r>
        <w:rPr>
          <w:sz w:val="22"/>
          <w:szCs w:val="22"/>
        </w:rPr>
        <w:t>Descripción</w:t>
      </w:r>
    </w:p>
    <w:p>
      <w:pPr>
        <w:pStyle w:val="Normal"/>
        <w:rPr/>
      </w:pPr>
      <w:r>
        <w:rPr>
          <w:sz w:val="22"/>
          <w:szCs w:val="22"/>
        </w:rPr>
        <w:t>La Física constituye una ciencia que está profundamente implicada en distintos ámbitos de nuestras vidas cotidianas y que, por tanto, forma parte clave del desarrollo científico, tecnológico e industrial. La adecuada aplicación de sus principios y leyes permite la resolución de diversos problemas basados en los mismos conocimientos y la capacidad de aplicar en distintas situaciones planteamientos similares a los estudiados muestra la universalidad de esta ciencia.</w:t>
      </w:r>
    </w:p>
    <w:p>
      <w:pPr>
        <w:pStyle w:val="Normal"/>
        <w:rPr/>
      </w:pPr>
      <w:r>
        <w:rPr>
          <w:sz w:val="22"/>
          <w:szCs w:val="22"/>
        </w:rPr>
        <w:t>Los conocimientos y aplicaciones de la Física forman, junto con los de otras ciencias como las matemáticas o la tecnología, un sistema simbiótico cuyas aportaciones se benefician mutuamente. La necesidad de formalizar experimentos para verificar los estudios implica un incentivo en el desarrollo tecnológico y viceversa, el progreso de la tecnología alumbra nuevos descubrimientos que precisan de explicación a través de las ciencias básicas como la Física. La colaboración entre distintas comunidades científicas expertas en diferentes disciplinas es imprescindible en todo este desarrollo.</w:t>
      </w:r>
    </w:p>
    <w:p>
      <w:pPr>
        <w:pStyle w:val="Ttulo3"/>
        <w:rPr/>
      </w:pPr>
      <w:r>
        <w:rPr>
          <w:sz w:val="22"/>
          <w:szCs w:val="22"/>
        </w:rPr>
        <w:t>Vinculación con otras competencias</w:t>
      </w:r>
    </w:p>
    <w:p>
      <w:pPr>
        <w:pStyle w:val="NormalWeb"/>
        <w:spacing w:beforeAutospacing="0" w:before="0" w:afterAutospacing="0" w:after="160"/>
        <w:jc w:val="both"/>
        <w:rPr/>
      </w:pPr>
      <w:r>
        <w:rPr>
          <w:rFonts w:cs="Calibri" w:ascii="Calibri" w:hAnsi="Calibri"/>
          <w:color w:val="000000"/>
          <w:sz w:val="22"/>
          <w:szCs w:val="22"/>
        </w:rPr>
        <w:t>Esta competencia específica se relaciona con otras pertenecientes a la misma materia como la CE.F.3. en cuanto a la necesidad de usar el lenguaje científico de manera apropiada y adecuada para producir información que permita mantener relaciones con otras ciencias y campos de conocimiento para la consecución de una concepción holística de la ciencia. </w:t>
      </w:r>
    </w:p>
    <w:p>
      <w:pPr>
        <w:pStyle w:val="NormalWeb"/>
        <w:spacing w:beforeAutospacing="0" w:before="0" w:afterAutospacing="0" w:after="160"/>
        <w:jc w:val="both"/>
        <w:rPr/>
      </w:pPr>
      <w:r>
        <w:rPr>
          <w:rFonts w:cs="Calibri" w:ascii="Calibri" w:hAnsi="Calibri"/>
          <w:color w:val="000000"/>
          <w:sz w:val="22"/>
          <w:szCs w:val="22"/>
        </w:rPr>
        <w:t>En cuanto a la relación con las competencias de otras materias, se relaciona con CE.B.2 de la materia Biología, por la valoración de la aproximación de todo el conocimiento científico para poder explicar de forma más precisa el funcionamiento del medio natural y con la competencia CE.Q.6 de la materia Química, por los objetivos que comparten en cuanto a alcanzar un desarrollo de la ciencia, la tecnología y la sociedad dentro de un marco respetuoso con el medio ambiente y con el ser humano.</w:t>
      </w:r>
    </w:p>
    <w:p>
      <w:pPr>
        <w:pStyle w:val="Ttulo3"/>
        <w:rPr/>
      </w:pPr>
      <w:r>
        <w:rPr>
          <w:sz w:val="22"/>
          <w:szCs w:val="22"/>
        </w:rPr>
        <w:t>Vinculación con los descriptores de las competencias clave</w:t>
      </w:r>
    </w:p>
    <w:p>
      <w:pPr>
        <w:pStyle w:val="Normal"/>
        <w:rPr/>
      </w:pPr>
      <w:r>
        <w:rPr>
          <w:sz w:val="22"/>
          <w:szCs w:val="22"/>
        </w:rPr>
        <w:t>Esta competencia específica se conecta con los siguientes descriptores: STEM2, STEM5, CPSAA7, CE1.</w:t>
      </w:r>
    </w:p>
    <w:p>
      <w:pPr>
        <w:pStyle w:val="Ttulo1"/>
        <w:rPr/>
      </w:pPr>
      <w:r>
        <w:rPr>
          <w:sz w:val="22"/>
          <w:szCs w:val="22"/>
        </w:rPr>
        <w:t>II. Criterios de evaluación</w:t>
      </w:r>
    </w:p>
    <w:p>
      <w:pPr>
        <w:pStyle w:val="NormalWeb"/>
        <w:spacing w:beforeAutospacing="0" w:before="0" w:afterAutospacing="0" w:after="160"/>
        <w:jc w:val="both"/>
        <w:rPr/>
      </w:pPr>
      <w:r>
        <w:rPr>
          <w:rFonts w:cs="Calibri" w:ascii="Calibri" w:hAnsi="Calibri"/>
          <w:color w:val="000000"/>
          <w:sz w:val="22"/>
          <w:szCs w:val="22"/>
        </w:rPr>
        <w:t>La evaluación debe constituir un proceso constante a lo largo del proceso de enseñanza/aprendizaje, que es necesario planificar. Los contenidos y procedimientos seleccionados para evaluar con finalidades calificadoras y los criterios de evaluación aplicados condicionan totalmente cómo se enseña y cómo se estudia y aprende. La evaluación no sólo mide los resultados, sino que condiciona qué se enseña y cómo, y muy especialmente qué aprenden los estudiantes y las estudiantes y cómo lo hacen. </w:t>
      </w:r>
    </w:p>
    <w:p>
      <w:pPr>
        <w:pStyle w:val="NormalWeb"/>
        <w:spacing w:beforeAutospacing="0" w:before="0" w:afterAutospacing="0" w:after="160"/>
        <w:jc w:val="both"/>
        <w:rPr/>
      </w:pPr>
      <w:r>
        <w:rPr>
          <w:rFonts w:cs="Calibri" w:ascii="Calibri" w:hAnsi="Calibri"/>
          <w:color w:val="000000"/>
          <w:sz w:val="22"/>
          <w:szCs w:val="22"/>
        </w:rPr>
        <w:t>Las actividades de evaluación deberían tener como finalidad principal favorecer el proceso de regulación, es decir, que el alumnado consiga reconocer las diferencias entre lo que se propone y sus propias maneras de pensar o hacer. De esta manera, se ayuda a que el alumnado pueda detectar sus dificultades y disponga de estrategias e instrumentos para superarlas. Si se realiza una buena evaluación con funciones reguladoras, se consigue que una proporción mayor del alumnado obtenga buenos resultados en las evaluaciones sumativas. No hay duda de que es difícil y en algunos casos no se consigue, pero la investigación en este campo demuestra que cuando se consigue, los resultados son mucho mejores (Sanmartí, 2007). </w:t>
      </w:r>
    </w:p>
    <w:p>
      <w:pPr>
        <w:pStyle w:val="NormalWeb"/>
        <w:spacing w:beforeAutospacing="0" w:before="0" w:afterAutospacing="0" w:after="160"/>
        <w:jc w:val="both"/>
        <w:rPr/>
      </w:pPr>
      <w:r>
        <w:rPr>
          <w:rFonts w:cs="Calibri" w:ascii="Calibri" w:hAnsi="Calibri"/>
          <w:color w:val="000000"/>
          <w:sz w:val="22"/>
          <w:szCs w:val="22"/>
        </w:rPr>
        <w:t>Además, evaluar es una condición necesaria para mejorar la enseñanza. La evaluación es la actividad que más impulsa el cambio, ya que posibilita la toma de conciencia de unos hechos y el análisis de sus posibles causas y soluciones. Evaluar la enseñanza comporta (Sanmartí, 2007) por un lado, detectar la adecuación de sus objetivos a una determinada realidad escolar, y la coherencia, con relación a dicho objetivos, de los contenidos, actividades de enseñanza seleccionadas y criterios de evaluación aplicados. Por otro, emitir juicios sobre los aspectos que conviene reforzar y sobre las posibles causas de las incoherencias detectadas. Y finalmente, tomar decisiones sobre cómo innovar para superar las deficiencias observadas.</w:t>
      </w:r>
    </w:p>
    <w:tbl>
      <w:tblPr>
        <w:tblW w:w="10515" w:type="dxa"/>
        <w:jc w:val="left"/>
        <w:tblInd w:w="-321" w:type="dxa"/>
        <w:tblCellMar>
          <w:top w:w="0" w:type="dxa"/>
          <w:left w:w="108" w:type="dxa"/>
          <w:bottom w:w="0" w:type="dxa"/>
          <w:right w:w="108" w:type="dxa"/>
        </w:tblCellMar>
        <w:tblLook w:firstRow="1" w:noVBand="1" w:lastRow="0" w:firstColumn="1" w:lastColumn="0" w:noHBand="0" w:val="04a0"/>
      </w:tblPr>
      <w:tblGrid>
        <w:gridCol w:w="10515"/>
      </w:tblGrid>
      <w:tr>
        <w:trPr/>
        <w:tc>
          <w:tcPr>
            <w:tcW w:w="10515" w:type="dxa"/>
            <w:tcBorders/>
            <w:shd w:color="auto" w:fill="92CDDC" w:themeFill="accent5" w:themeFillTint="99" w:val="clear"/>
          </w:tcPr>
          <w:p>
            <w:pPr>
              <w:pStyle w:val="Normal"/>
              <w:widowControl w:val="false"/>
              <w:spacing w:lineRule="auto" w:line="240" w:before="0" w:after="0"/>
              <w:jc w:val="center"/>
              <w:rPr/>
            </w:pPr>
            <w:r>
              <w:rPr>
                <w:b/>
                <w:sz w:val="22"/>
                <w:szCs w:val="22"/>
              </w:rPr>
              <w:t>CE.F.1</w:t>
            </w:r>
          </w:p>
        </w:tc>
      </w:tr>
      <w:tr>
        <w:trPr/>
        <w:tc>
          <w:tcPr>
            <w:tcW w:w="10515" w:type="dxa"/>
            <w:tcBorders/>
            <w:shd w:color="auto" w:fill="DBE5F1" w:themeFill="accent1" w:themeFillTint="33" w:val="clear"/>
          </w:tcPr>
          <w:p>
            <w:pPr>
              <w:pStyle w:val="Normal"/>
              <w:widowControl w:val="false"/>
              <w:spacing w:lineRule="auto" w:line="240" w:before="0" w:after="0"/>
              <w:rPr/>
            </w:pPr>
            <w:r>
              <w:rPr>
                <w:i/>
                <w:sz w:val="22"/>
                <w:szCs w:val="22"/>
              </w:rPr>
              <w:t>Utilizar las teorías, principios y leyes que rigen los procesos físicos más importantes, considerando su base experimental y desarrollo matemático en la resolución de problemas, para reconocer la Física como una ciencia relevante implicada en el desarrollo de la tecnología, de la economía, de la sociedad y la sostenibilidad ambiental.</w:t>
            </w:r>
          </w:p>
        </w:tc>
      </w:tr>
      <w:tr>
        <w:trPr/>
        <w:tc>
          <w:tcPr>
            <w:tcW w:w="10515" w:type="dxa"/>
            <w:tcBorders/>
            <w:shd w:color="auto" w:fill="auto" w:val="clear"/>
          </w:tcPr>
          <w:p>
            <w:pPr>
              <w:pStyle w:val="Normal"/>
              <w:widowControl w:val="false"/>
              <w:spacing w:lineRule="auto" w:line="240" w:before="0" w:after="0"/>
              <w:rPr/>
            </w:pPr>
            <w:r>
              <w:rPr>
                <w:sz w:val="22"/>
                <w:szCs w:val="22"/>
              </w:rPr>
              <w:t>1.1. Reconocer la relevancia de la Física en el desarrollo de la ciencia, tecnología, la economía, la sociedad y la sostenibilidad ambiental, empleando adecuadamente los fundamentos científicos relativos a esos ámbitos.</w:t>
            </w:r>
          </w:p>
          <w:p>
            <w:pPr>
              <w:pStyle w:val="Normal"/>
              <w:widowControl w:val="false"/>
              <w:spacing w:lineRule="auto" w:line="240" w:before="0" w:after="0"/>
              <w:rPr/>
            </w:pPr>
            <w:r>
              <w:rPr>
                <w:sz w:val="22"/>
                <w:szCs w:val="22"/>
              </w:rPr>
              <w:t>1.2. Resolver problemas de manera experimental y analítica, utilizando principios, leyes y teorías de la Física.</w:t>
            </w:r>
          </w:p>
        </w:tc>
      </w:tr>
      <w:tr>
        <w:trPr/>
        <w:tc>
          <w:tcPr>
            <w:tcW w:w="10515" w:type="dxa"/>
            <w:tcBorders/>
            <w:shd w:color="auto" w:fill="92CDDC" w:themeFill="accent5" w:themeFillTint="99" w:val="clear"/>
          </w:tcPr>
          <w:p>
            <w:pPr>
              <w:pStyle w:val="Normal"/>
              <w:widowControl w:val="false"/>
              <w:spacing w:lineRule="auto" w:line="240" w:before="0" w:after="0"/>
              <w:jc w:val="center"/>
              <w:rPr/>
            </w:pPr>
            <w:r>
              <w:rPr>
                <w:b/>
                <w:sz w:val="22"/>
                <w:szCs w:val="22"/>
              </w:rPr>
              <w:t>CE.F.2</w:t>
            </w:r>
          </w:p>
        </w:tc>
      </w:tr>
      <w:tr>
        <w:trPr/>
        <w:tc>
          <w:tcPr>
            <w:tcW w:w="10515" w:type="dxa"/>
            <w:tcBorders/>
            <w:shd w:color="auto" w:fill="DBE5F1" w:themeFill="accent1" w:themeFillTint="33" w:val="clear"/>
          </w:tcPr>
          <w:p>
            <w:pPr>
              <w:pStyle w:val="Normal"/>
              <w:widowControl w:val="false"/>
              <w:spacing w:lineRule="auto" w:line="240" w:before="0" w:after="0"/>
              <w:rPr/>
            </w:pPr>
            <w:r>
              <w:rPr>
                <w:i/>
                <w:sz w:val="22"/>
                <w:szCs w:val="22"/>
              </w:rPr>
              <w:t>Adoptar los modelos, teorías y leyes aceptados de la Física como base de estudio de los sistemas naturales y predecir su evolución para inferir soluciones generales a los problemas cotidianos relacionados con las aplicaciones prácticas demandadas por la sociedad en el campo tecnológico, industrial y biosanitario.</w:t>
            </w:r>
          </w:p>
        </w:tc>
      </w:tr>
      <w:tr>
        <w:trPr/>
        <w:tc>
          <w:tcPr>
            <w:tcW w:w="10515" w:type="dxa"/>
            <w:tcBorders/>
            <w:shd w:color="auto" w:fill="auto" w:val="clear"/>
          </w:tcPr>
          <w:p>
            <w:pPr>
              <w:pStyle w:val="Normal"/>
              <w:widowControl w:val="false"/>
              <w:spacing w:lineRule="auto" w:line="240" w:before="0" w:after="0"/>
              <w:rPr/>
            </w:pPr>
            <w:r>
              <w:rPr>
                <w:sz w:val="22"/>
                <w:szCs w:val="22"/>
              </w:rPr>
              <w:t>2.1. Analizar y comprender la evolución de los sistemas naturales, utilizando modelos, leyes y teorías de la Física.</w:t>
            </w:r>
          </w:p>
          <w:p>
            <w:pPr>
              <w:pStyle w:val="Normal"/>
              <w:widowControl w:val="false"/>
              <w:spacing w:lineRule="auto" w:line="240" w:before="0" w:after="0"/>
              <w:rPr/>
            </w:pPr>
            <w:r>
              <w:rPr>
                <w:sz w:val="22"/>
                <w:szCs w:val="22"/>
              </w:rPr>
              <w:t>2.2. Inferir soluciones generales a problemas generales a partir del análisis de situaciones particulares y las variables de que dependen.</w:t>
            </w:r>
          </w:p>
          <w:p>
            <w:pPr>
              <w:pStyle w:val="Normal"/>
              <w:widowControl w:val="false"/>
              <w:spacing w:lineRule="auto" w:line="240" w:before="0" w:after="0"/>
              <w:rPr/>
            </w:pPr>
            <w:r>
              <w:rPr>
                <w:sz w:val="22"/>
                <w:szCs w:val="22"/>
              </w:rPr>
              <w:t>2.3. Conocer aplicaciones prácticas y productos útiles para la sociedad en el campo tecnológico, industrial y biosanitario, analizándolos en base a los modelos, las leyes y las teorías de la Física.</w:t>
            </w:r>
          </w:p>
        </w:tc>
      </w:tr>
      <w:tr>
        <w:trPr/>
        <w:tc>
          <w:tcPr>
            <w:tcW w:w="10515" w:type="dxa"/>
            <w:tcBorders/>
            <w:shd w:color="auto" w:fill="92CDDC" w:themeFill="accent5" w:themeFillTint="99" w:val="clear"/>
          </w:tcPr>
          <w:p>
            <w:pPr>
              <w:pStyle w:val="Normal"/>
              <w:widowControl w:val="false"/>
              <w:spacing w:lineRule="auto" w:line="240" w:before="0" w:after="0"/>
              <w:jc w:val="center"/>
              <w:rPr/>
            </w:pPr>
            <w:r>
              <w:rPr>
                <w:b/>
                <w:sz w:val="22"/>
                <w:szCs w:val="22"/>
              </w:rPr>
              <w:t>CE.F.3</w:t>
            </w:r>
          </w:p>
        </w:tc>
      </w:tr>
      <w:tr>
        <w:trPr/>
        <w:tc>
          <w:tcPr>
            <w:tcW w:w="10515" w:type="dxa"/>
            <w:tcBorders/>
            <w:shd w:color="auto" w:fill="DBE5F1" w:themeFill="accent1" w:themeFillTint="33" w:val="clear"/>
          </w:tcPr>
          <w:p>
            <w:pPr>
              <w:pStyle w:val="Normal"/>
              <w:widowControl w:val="false"/>
              <w:spacing w:lineRule="auto" w:line="240" w:before="0" w:after="0"/>
              <w:rPr/>
            </w:pPr>
            <w:r>
              <w:rPr>
                <w:i/>
                <w:sz w:val="22"/>
                <w:szCs w:val="22"/>
              </w:rPr>
              <w:t>Utilizar el lenguaje de la Física con la formulación matemática de sus principios, magnitudes, unidades, ecuaciones, etc., para establecer una comunicación adecuada entre diferentes comunidades científicas y como una herramienta fundamental en la investigación.</w:t>
            </w:r>
          </w:p>
        </w:tc>
      </w:tr>
      <w:tr>
        <w:trPr/>
        <w:tc>
          <w:tcPr>
            <w:tcW w:w="10515" w:type="dxa"/>
            <w:tcBorders/>
            <w:shd w:color="auto" w:fill="auto" w:val="clear"/>
          </w:tcPr>
          <w:p>
            <w:pPr>
              <w:pStyle w:val="Normal"/>
              <w:widowControl w:val="false"/>
              <w:spacing w:lineRule="auto" w:line="240" w:before="0" w:after="0"/>
              <w:rPr/>
            </w:pPr>
            <w:r>
              <w:rPr>
                <w:sz w:val="22"/>
                <w:szCs w:val="22"/>
              </w:rPr>
              <w:t>3.1. Aplicar los principios, leyes y teorías científicas en el análisis crítico de procesos físicos del entorno, como los observados y los publicados en distintos medios de comunicación, analizando, comprendiendo y explicando las causas que los producen.</w:t>
            </w:r>
          </w:p>
          <w:p>
            <w:pPr>
              <w:pStyle w:val="Normal"/>
              <w:widowControl w:val="false"/>
              <w:spacing w:lineRule="auto" w:line="240" w:before="0" w:after="0"/>
              <w:rPr/>
            </w:pPr>
            <w:r>
              <w:rPr>
                <w:sz w:val="22"/>
                <w:szCs w:val="22"/>
              </w:rPr>
              <w:t>3.2. Utilizar de manera rigurosa las unidades de las variables Físicas en diferentes sistemas de unidades, empleando correctamente su notación y sus equivalencias, así como la elaboración e interpretación adecuada de gráficas que relacionan variables Físicas, posibilitando una comunicación efectiva con toda la comunidad científica.</w:t>
            </w:r>
          </w:p>
          <w:p>
            <w:pPr>
              <w:pStyle w:val="Normal"/>
              <w:widowControl w:val="false"/>
              <w:spacing w:lineRule="auto" w:line="240" w:before="0" w:after="0"/>
              <w:rPr/>
            </w:pPr>
            <w:r>
              <w:rPr>
                <w:sz w:val="22"/>
                <w:szCs w:val="22"/>
              </w:rPr>
              <w:t>3.3. Expresar de forma adecuada los resultados, argumentando las soluciones obtenidas, en la resolución de los ejercicios y problemas que se plantean, bien sea a través de situaciones reales o ideales.</w:t>
            </w:r>
          </w:p>
        </w:tc>
      </w:tr>
      <w:tr>
        <w:trPr/>
        <w:tc>
          <w:tcPr>
            <w:tcW w:w="10515" w:type="dxa"/>
            <w:tcBorders/>
            <w:shd w:color="auto" w:fill="92CDDC" w:themeFill="accent5" w:themeFillTint="99" w:val="clear"/>
          </w:tcPr>
          <w:p>
            <w:pPr>
              <w:pStyle w:val="Normal"/>
              <w:widowControl w:val="false"/>
              <w:spacing w:lineRule="auto" w:line="240" w:before="0" w:after="0"/>
              <w:jc w:val="center"/>
              <w:rPr/>
            </w:pPr>
            <w:r>
              <w:rPr>
                <w:b/>
                <w:sz w:val="22"/>
                <w:szCs w:val="22"/>
              </w:rPr>
              <w:t>CE.F.4</w:t>
            </w:r>
          </w:p>
        </w:tc>
      </w:tr>
      <w:tr>
        <w:trPr/>
        <w:tc>
          <w:tcPr>
            <w:tcW w:w="10515" w:type="dxa"/>
            <w:tcBorders/>
            <w:shd w:color="auto" w:fill="DBE5F1" w:themeFill="accent1" w:themeFillTint="33" w:val="clear"/>
          </w:tcPr>
          <w:p>
            <w:pPr>
              <w:pStyle w:val="Normal"/>
              <w:widowControl w:val="false"/>
              <w:spacing w:lineRule="auto" w:line="240" w:before="0" w:after="0"/>
              <w:rPr/>
            </w:pPr>
            <w:r>
              <w:rPr>
                <w:i/>
                <w:sz w:val="22"/>
                <w:szCs w:val="22"/>
              </w:rPr>
              <w:t>Utilizar de forma autónoma, eficiente, crítica y responsable recursos en distintos formatos, plataformas digitales de información y de comunicación en el trabajo individual y colectivo para el fomento de la creatividad mediante la producción y el intercambio de materiales científicos y divulgativos que faciliten acercar la Física a la sociedad como un campo de conocimientos accesible.</w:t>
            </w:r>
          </w:p>
        </w:tc>
      </w:tr>
      <w:tr>
        <w:trPr/>
        <w:tc>
          <w:tcPr>
            <w:tcW w:w="10515" w:type="dxa"/>
            <w:tcBorders/>
            <w:shd w:color="auto" w:fill="auto" w:val="clear"/>
          </w:tcPr>
          <w:p>
            <w:pPr>
              <w:pStyle w:val="Normal"/>
              <w:widowControl w:val="false"/>
              <w:spacing w:lineRule="auto" w:line="240" w:before="0" w:after="0"/>
              <w:rPr/>
            </w:pPr>
            <w:r>
              <w:rPr>
                <w:sz w:val="22"/>
                <w:szCs w:val="22"/>
              </w:rPr>
              <w:t>4.1. Consultar, elaborar e intercambiar materiales científicos y divulgativos en distintos formatos con otros miembros del entorno de aprendizaje, utilizando de forma autónoma y eficiente plataformas digitales.</w:t>
            </w:r>
          </w:p>
          <w:p>
            <w:pPr>
              <w:pStyle w:val="Normal"/>
              <w:widowControl w:val="false"/>
              <w:spacing w:lineRule="auto" w:line="240" w:before="0" w:after="0"/>
              <w:rPr/>
            </w:pPr>
            <w:r>
              <w:rPr>
                <w:sz w:val="22"/>
                <w:szCs w:val="22"/>
              </w:rPr>
              <w:t>4.2. Usar de forma crítica, ética y responsable medios de comunicación digitales y tradicionales como modo de enriquecer el aprendizaje y el trabajo individual y colectivo.</w:t>
            </w:r>
          </w:p>
        </w:tc>
      </w:tr>
      <w:tr>
        <w:trPr/>
        <w:tc>
          <w:tcPr>
            <w:tcW w:w="10515" w:type="dxa"/>
            <w:tcBorders/>
            <w:shd w:color="auto" w:fill="92CDDC" w:themeFill="accent5" w:themeFillTint="99" w:val="clear"/>
          </w:tcPr>
          <w:p>
            <w:pPr>
              <w:pStyle w:val="Normal"/>
              <w:widowControl w:val="false"/>
              <w:spacing w:lineRule="auto" w:line="240" w:before="0" w:after="0"/>
              <w:jc w:val="center"/>
              <w:rPr/>
            </w:pPr>
            <w:r>
              <w:rPr>
                <w:b/>
                <w:sz w:val="22"/>
                <w:szCs w:val="22"/>
              </w:rPr>
              <w:t>CE.F.5</w:t>
            </w:r>
          </w:p>
        </w:tc>
      </w:tr>
      <w:tr>
        <w:trPr/>
        <w:tc>
          <w:tcPr>
            <w:tcW w:w="10515" w:type="dxa"/>
            <w:tcBorders/>
            <w:shd w:color="auto" w:fill="DBE5F1" w:themeFill="accent1" w:themeFillTint="33" w:val="clear"/>
          </w:tcPr>
          <w:p>
            <w:pPr>
              <w:pStyle w:val="Normal"/>
              <w:widowControl w:val="false"/>
              <w:spacing w:lineRule="auto" w:line="240" w:before="0" w:after="0"/>
              <w:rPr/>
            </w:pPr>
            <w:r>
              <w:rPr>
                <w:i/>
                <w:sz w:val="22"/>
                <w:szCs w:val="22"/>
              </w:rPr>
              <w:t>Aplicar técnicas de trabajo e indagación propias de la Física, así como la experimentación, el razonamiento lógico-matemático y la cooperación, en la resolución de problemas y la interpretación de situaciones relacionadas, para poner en valor el papel de la Física en una sociedad basada en valores éticos y sostenibles.</w:t>
            </w:r>
          </w:p>
        </w:tc>
      </w:tr>
      <w:tr>
        <w:trPr/>
        <w:tc>
          <w:tcPr>
            <w:tcW w:w="10515" w:type="dxa"/>
            <w:tcBorders/>
            <w:shd w:color="auto" w:fill="auto" w:val="clear"/>
          </w:tcPr>
          <w:p>
            <w:pPr>
              <w:pStyle w:val="Normal"/>
              <w:widowControl w:val="false"/>
              <w:spacing w:lineRule="auto" w:line="240" w:before="0" w:after="0"/>
              <w:rPr/>
            </w:pPr>
            <w:r>
              <w:rPr>
                <w:sz w:val="22"/>
                <w:szCs w:val="22"/>
              </w:rPr>
              <w:t>5.1. Obtener relaciones entre variables Físicas, midiendo y tratando los datos experimentales, determinando los errores y utilizando sistemas de representación gráfica.</w:t>
            </w:r>
          </w:p>
          <w:p>
            <w:pPr>
              <w:pStyle w:val="Normal"/>
              <w:widowControl w:val="false"/>
              <w:spacing w:lineRule="auto" w:line="240" w:before="0" w:after="0"/>
              <w:rPr/>
            </w:pPr>
            <w:r>
              <w:rPr>
                <w:sz w:val="22"/>
                <w:szCs w:val="22"/>
              </w:rPr>
              <w:t>5.2. Reproducir en laboratorios, sean reales o virtuales, determinados procesos físicos modificando las variables que los condicionan, considerando los principios, leyes o teorías implicados, generando el correspondiente informe con formato adecuado e incluyendo argumentaciones, conclusiones, tablas de datos, gráficas y referencias bibliográficas.</w:t>
            </w:r>
          </w:p>
          <w:p>
            <w:pPr>
              <w:pStyle w:val="Normal"/>
              <w:widowControl w:val="false"/>
              <w:spacing w:lineRule="auto" w:line="240" w:before="0" w:after="0"/>
              <w:rPr/>
            </w:pPr>
            <w:r>
              <w:rPr>
                <w:sz w:val="22"/>
                <w:szCs w:val="22"/>
              </w:rPr>
              <w:t>5.3. Valorar la Física, debatiendo de forma fundamentada sobre sus avances y la implicación en la sociedad desde el punto de vista de la ética y de la sostenibilidad.</w:t>
            </w:r>
          </w:p>
        </w:tc>
      </w:tr>
      <w:tr>
        <w:trPr/>
        <w:tc>
          <w:tcPr>
            <w:tcW w:w="10515" w:type="dxa"/>
            <w:tcBorders/>
            <w:shd w:color="auto" w:fill="92CDDC" w:themeFill="accent5" w:themeFillTint="99" w:val="clear"/>
          </w:tcPr>
          <w:p>
            <w:pPr>
              <w:pStyle w:val="Normal"/>
              <w:widowControl w:val="false"/>
              <w:spacing w:lineRule="auto" w:line="240" w:before="0" w:after="0"/>
              <w:jc w:val="center"/>
              <w:rPr/>
            </w:pPr>
            <w:r>
              <w:rPr>
                <w:b/>
                <w:sz w:val="22"/>
                <w:szCs w:val="22"/>
              </w:rPr>
              <w:t>CE.F.6</w:t>
            </w:r>
          </w:p>
        </w:tc>
      </w:tr>
      <w:tr>
        <w:trPr/>
        <w:tc>
          <w:tcPr>
            <w:tcW w:w="10515" w:type="dxa"/>
            <w:tcBorders/>
            <w:shd w:color="auto" w:fill="DBE5F1" w:themeFill="accent1" w:themeFillTint="33" w:val="clear"/>
          </w:tcPr>
          <w:p>
            <w:pPr>
              <w:pStyle w:val="Normal"/>
              <w:widowControl w:val="false"/>
              <w:spacing w:lineRule="auto" w:line="240" w:before="0" w:after="0"/>
              <w:rPr/>
            </w:pPr>
            <w:r>
              <w:rPr>
                <w:i/>
                <w:sz w:val="22"/>
                <w:szCs w:val="22"/>
              </w:rPr>
              <w:t>Reconocer y analizar el carácter multidisciplinar de la Física, considerando su relevante recorrido histórico y sus contribuciones al avance del conocimiento científico como un proceso en continua evolución e innovación, para establecer unas bases de conocimiento y relación con otras disciplinas científicas.</w:t>
            </w:r>
          </w:p>
        </w:tc>
      </w:tr>
      <w:tr>
        <w:trPr/>
        <w:tc>
          <w:tcPr>
            <w:tcW w:w="10515" w:type="dxa"/>
            <w:tcBorders/>
            <w:shd w:color="auto" w:fill="auto" w:val="clear"/>
          </w:tcPr>
          <w:p>
            <w:pPr>
              <w:pStyle w:val="Normal"/>
              <w:widowControl w:val="false"/>
              <w:spacing w:lineRule="auto" w:line="240" w:before="0" w:after="0"/>
              <w:rPr/>
            </w:pPr>
            <w:r>
              <w:rPr>
                <w:sz w:val="22"/>
                <w:szCs w:val="22"/>
              </w:rPr>
              <w:t>6.1. Identificar los principales avances científicos relacionados con la Física que han contribuido a las leyes y teorías aceptadas actualmente en el conjunto de las disciplinas científicas, como las fases para el entendimiento de las metodologías de la ciencia, su evolución constante y su universalidad.</w:t>
            </w:r>
          </w:p>
          <w:p>
            <w:pPr>
              <w:pStyle w:val="Normal"/>
              <w:widowControl w:val="false"/>
              <w:spacing w:lineRule="auto" w:line="240" w:before="0" w:after="0"/>
              <w:rPr/>
            </w:pPr>
            <w:r>
              <w:rPr>
                <w:sz w:val="22"/>
                <w:szCs w:val="22"/>
              </w:rPr>
              <w:t>6.2. Reconocer el carácter multidisciplinar de la ciencia y las contribuciones de unas disciplinas sobre otras, estableciendo relaciones entre la Física y la Química, la Biología o las Matemáticas.</w:t>
            </w:r>
          </w:p>
        </w:tc>
      </w:tr>
    </w:tbl>
    <w:p>
      <w:pPr>
        <w:pStyle w:val="Ttulo1"/>
        <w:jc w:val="both"/>
        <w:rPr>
          <w:rFonts w:ascii="Calibri" w:hAnsi="Calibri" w:eastAsia="Cambria" w:cs="Cambria"/>
          <w:sz w:val="22"/>
          <w:szCs w:val="22"/>
          <w:u w:val="single"/>
        </w:rPr>
      </w:pPr>
      <w:r>
        <w:rPr>
          <w:rFonts w:eastAsia="Cambria" w:cs="Cambria"/>
          <w:sz w:val="22"/>
          <w:szCs w:val="22"/>
          <w:u w:val="single"/>
        </w:rPr>
      </w:r>
    </w:p>
    <w:p>
      <w:pPr>
        <w:pStyle w:val="Normal"/>
        <w:jc w:val="both"/>
        <w:rPr/>
      </w:pPr>
      <w:r>
        <w:rPr>
          <w:rFonts w:eastAsia="Cambria" w:cs="Cambria"/>
          <w:b/>
          <w:sz w:val="22"/>
          <w:szCs w:val="22"/>
          <w:u w:val="single"/>
        </w:rPr>
        <w:t>2. CONCRECIÓN, AGRUPAMIENTO Y SECUENCIACIÓN DE LOS SABERES BÁSICOS Y DE LOS CRITERIOS DE EVALUACIÓN EN UNIDADES DIDÁCTICAS</w:t>
      </w:r>
    </w:p>
    <w:p>
      <w:pPr>
        <w:pStyle w:val="Ttulo1"/>
        <w:rPr/>
      </w:pPr>
      <w:r>
        <w:rPr>
          <w:sz w:val="22"/>
          <w:szCs w:val="22"/>
        </w:rPr>
        <w:t>III. Saberes básicos</w:t>
      </w:r>
    </w:p>
    <w:p>
      <w:pPr>
        <w:pStyle w:val="Ttulo2"/>
        <w:rPr/>
      </w:pPr>
      <w:r>
        <w:rPr>
          <w:sz w:val="22"/>
          <w:szCs w:val="22"/>
        </w:rPr>
        <w:t>III.1. Descripción de los diferentes bloques en los que se estructuran los saberes básicos</w:t>
      </w:r>
    </w:p>
    <w:p>
      <w:pPr>
        <w:pStyle w:val="Ttulo3"/>
        <w:rPr/>
      </w:pPr>
      <w:r>
        <w:rPr>
          <w:sz w:val="22"/>
          <w:szCs w:val="22"/>
        </w:rPr>
        <w:t>A. Campo gravitatorio</w:t>
      </w:r>
    </w:p>
    <w:p>
      <w:pPr>
        <w:pStyle w:val="NormalWeb"/>
        <w:spacing w:beforeAutospacing="0" w:before="0" w:afterAutospacing="0" w:after="160"/>
        <w:jc w:val="both"/>
        <w:rPr/>
      </w:pPr>
      <w:r>
        <w:rPr>
          <w:rFonts w:cs="Calibri" w:ascii="Calibri" w:hAnsi="Calibri"/>
          <w:color w:val="000000"/>
          <w:sz w:val="22"/>
          <w:szCs w:val="22"/>
        </w:rPr>
        <w:t>La gravitación es una de las cuatro fuerzas o interacciones fundamentales del Universo conocidas hasta ahora, siendo en este curso el primer momento en el que se realiza su estudio formal desde el punto de vista de las fuerzas y de los campos. Así, se puede presentar el concepto de campo gravitatorio como aquel que permite encajar las piezas sueltas de la mecánica clásica relacionadas con la cinemática, la dinámica y la energía vistas en cursos anteriores, dando respuesta matemática a afirmaciones que hasta ahora habían quedado sin una respuesta formal.</w:t>
      </w:r>
    </w:p>
    <w:p>
      <w:pPr>
        <w:pStyle w:val="Ttulo3"/>
        <w:rPr/>
      </w:pPr>
      <w:r>
        <w:rPr>
          <w:sz w:val="22"/>
          <w:szCs w:val="22"/>
        </w:rPr>
        <w:t>B. Campo electromagnético</w:t>
      </w:r>
    </w:p>
    <w:p>
      <w:pPr>
        <w:pStyle w:val="NormalWeb"/>
        <w:spacing w:beforeAutospacing="0" w:before="0" w:afterAutospacing="0" w:after="160"/>
        <w:jc w:val="both"/>
        <w:rPr/>
      </w:pPr>
      <w:r>
        <w:rPr>
          <w:rFonts w:cs="Calibri" w:ascii="Calibri" w:hAnsi="Calibri"/>
          <w:color w:val="333333"/>
          <w:sz w:val="22"/>
          <w:szCs w:val="22"/>
        </w:rPr>
        <w:t>El estudio del campo electromagnético en este curso debería permitir al alumnado realizar una aproximación con relativa profundidad al estudio de las interacciones asociadas al electromagnetismo. Dichos conocimientos deben incluir el estudio de la interacción electrostática y el estudio del campo eléctrico, el estudio del campo magnético y los fenómenos asociados y finalmente el estudio de la interacción entre ambos campos y algunas de las aplicaciones más importantes.</w:t>
      </w:r>
    </w:p>
    <w:p>
      <w:pPr>
        <w:pStyle w:val="Ttulo3"/>
        <w:rPr/>
      </w:pPr>
      <w:r>
        <w:rPr>
          <w:sz w:val="22"/>
          <w:szCs w:val="22"/>
        </w:rPr>
        <w:t>C. Vibraciones y ondas</w:t>
      </w:r>
    </w:p>
    <w:p>
      <w:pPr>
        <w:pStyle w:val="NormalWeb"/>
        <w:spacing w:beforeAutospacing="0" w:before="0" w:afterAutospacing="0" w:after="160"/>
        <w:jc w:val="both"/>
        <w:rPr/>
      </w:pPr>
      <w:r>
        <w:rPr>
          <w:rFonts w:cs="Calibri" w:ascii="Calibri" w:hAnsi="Calibri"/>
          <w:color w:val="000000"/>
          <w:sz w:val="22"/>
          <w:szCs w:val="22"/>
        </w:rPr>
        <w:t>El bloque de conocimientos, destrezas y actitudes dedicado al estudio del movimiento oscilatorio y las ondas engloba un amplio espectro de fenómenos físicos. En este sentido, podrían establecerse tres sub-bloques de conocimientos que de forma secuencial establezcan el desarrollo de todo el bloque. En primer lugar, se podría comenzar con el estudio del movimiento oscilatorio desde una perspectiva conceptual, experimental y matemática. En segundo lugar y haciendo uso de los conocimientos del primer sub-bloque se afronta el estudio del movimiento ondulatorio y los fenómenos asociados a este (con una especial atención al estudio de las ondas de sonido). El último sub-bloque aborda el estudio de la naturaleza de la luz en su comportamiento ondulatorio, entre los que se encuentran los fenómenos más importantes asociados al estudio de la óptica.  </w:t>
      </w:r>
    </w:p>
    <w:p>
      <w:pPr>
        <w:pStyle w:val="Ttulo3"/>
        <w:rPr/>
      </w:pPr>
      <w:r>
        <w:rPr>
          <w:sz w:val="22"/>
          <w:szCs w:val="22"/>
        </w:rPr>
        <w:t>D. Física relativista, cuántica, nuclear y de partículas</w:t>
      </w:r>
    </w:p>
    <w:p>
      <w:pPr>
        <w:pStyle w:val="NormalWeb"/>
        <w:spacing w:beforeAutospacing="0" w:before="0" w:afterAutospacing="0" w:after="160"/>
        <w:jc w:val="both"/>
        <w:rPr/>
      </w:pPr>
      <w:r>
        <w:rPr>
          <w:rFonts w:cs="Calibri" w:ascii="Calibri" w:hAnsi="Calibri"/>
          <w:color w:val="000000"/>
          <w:sz w:val="22"/>
          <w:szCs w:val="22"/>
        </w:rPr>
        <w:t>El bloque de conocimientos, destrezas y actitudes dedicado al estudio del movimiento oscilatorio y las ondas engloba un amplio espectro de fenómenos físicos. En este sentido, podrían establecerse tres sub-bloques de conocimientos que de forma secuencial establezcan el desarrollo de todo el bloque. En primer lugar, se podría comenzar con el estudio del movimiento oscilatorio desde una perspectiva conceptual, experimental y matemática. En segundo lugar y haciendo uso de los conocimientos del primer sub-bloque se afronta el estudio del movimiento ondulatorio y los fenómenos asociados a este (con una especial atención al estudio de las ondas de sonido). El último sub-bloque aborda el estudio de la naturaleza de la luz en su comportamiento ondulatorio, entre los que se encuentran los fenómenos más importantes asociados al estudio de la óptica.</w:t>
      </w:r>
    </w:p>
    <w:p>
      <w:pPr>
        <w:pStyle w:val="Ttulo2"/>
        <w:rPr/>
      </w:pPr>
      <w:r>
        <w:rPr>
          <w:sz w:val="22"/>
          <w:szCs w:val="22"/>
        </w:rPr>
        <w:t xml:space="preserve">III.2. Concreción de los saberes básicos </w:t>
      </w:r>
    </w:p>
    <w:tbl>
      <w:tblPr>
        <w:tblW w:w="5000" w:type="pct"/>
        <w:jc w:val="left"/>
        <w:tblInd w:w="0" w:type="dxa"/>
        <w:tblCellMar>
          <w:top w:w="0" w:type="dxa"/>
          <w:left w:w="108" w:type="dxa"/>
          <w:bottom w:w="0" w:type="dxa"/>
          <w:right w:w="108" w:type="dxa"/>
        </w:tblCellMar>
        <w:tblLook w:firstRow="1" w:noVBand="1" w:lastRow="0" w:firstColumn="1" w:lastColumn="0" w:noHBand="0" w:val="04a0"/>
      </w:tblPr>
      <w:tblGrid>
        <w:gridCol w:w="2186"/>
        <w:gridCol w:w="6317"/>
      </w:tblGrid>
      <w:tr>
        <w:trPr/>
        <w:tc>
          <w:tcPr>
            <w:tcW w:w="8503" w:type="dxa"/>
            <w:gridSpan w:val="2"/>
            <w:tcBorders/>
            <w:shd w:color="auto" w:fill="92CDDC" w:themeFill="accent5" w:themeFillTint="99" w:val="clear"/>
          </w:tcPr>
          <w:p>
            <w:pPr>
              <w:pStyle w:val="Normal"/>
              <w:widowControl w:val="false"/>
              <w:spacing w:lineRule="auto" w:line="240" w:before="0" w:after="0"/>
              <w:jc w:val="center"/>
              <w:rPr/>
            </w:pPr>
            <w:r>
              <w:rPr>
                <w:b/>
                <w:sz w:val="22"/>
                <w:szCs w:val="22"/>
              </w:rPr>
              <w:t>A. Campo gravitatorio</w:t>
            </w:r>
          </w:p>
        </w:tc>
      </w:tr>
      <w:tr>
        <w:trPr/>
        <w:tc>
          <w:tcPr>
            <w:tcW w:w="8503" w:type="dxa"/>
            <w:gridSpan w:val="2"/>
            <w:tcBorders/>
            <w:shd w:color="auto" w:fill="DBE5F1" w:themeFill="accent1" w:themeFillTint="33" w:val="clear"/>
          </w:tcPr>
          <w:p>
            <w:pPr>
              <w:pStyle w:val="Normal"/>
              <w:widowControl w:val="false"/>
              <w:spacing w:lineRule="auto" w:line="240" w:before="0" w:after="0"/>
              <w:rPr/>
            </w:pPr>
            <w:r>
              <w:rPr>
                <w:color w:val="000000"/>
                <w:sz w:val="22"/>
                <w:szCs w:val="22"/>
              </w:rPr>
              <w:t>La gravitación es una de las cuatro fuerzas o interacciones fundamentales del Universo conocidas hasta ahora, siendo en este curso el primer momento en el que se realiza su estudio formal desde el punto de vista de las fuerzas y de los campos. Así, se puede presentar el concepto de campo gravitatorio como aquel que permite encajar las piezas sueltas de la mecánica clásica relacionadas con la cinemática, la dinámica y la energía, vistas en cursos anteriores, dando respuesta matemática a afirmaciones que hasta ahora habían quedado sin una respuesta formal.</w:t>
            </w:r>
          </w:p>
        </w:tc>
      </w:tr>
      <w:tr>
        <w:trPr/>
        <w:tc>
          <w:tcPr>
            <w:tcW w:w="2186" w:type="dxa"/>
            <w:tcBorders/>
            <w:shd w:color="auto" w:fill="D9D9D9" w:themeFill="background1" w:themeFillShade="d9" w:val="clear"/>
          </w:tcPr>
          <w:p>
            <w:pPr>
              <w:pStyle w:val="Normal"/>
              <w:widowControl w:val="false"/>
              <w:spacing w:lineRule="auto" w:line="240" w:before="0" w:after="0"/>
              <w:jc w:val="center"/>
              <w:rPr/>
            </w:pPr>
            <w:r>
              <w:rPr>
                <w:i/>
                <w:sz w:val="22"/>
                <w:szCs w:val="22"/>
              </w:rPr>
              <w:t>Conocimientos, destrezas y actitudes</w:t>
            </w:r>
          </w:p>
        </w:tc>
        <w:tc>
          <w:tcPr>
            <w:tcW w:w="6317" w:type="dxa"/>
            <w:tcBorders/>
            <w:shd w:color="auto" w:fill="D9D9D9" w:themeFill="background1" w:themeFillShade="d9" w:val="clear"/>
          </w:tcPr>
          <w:p>
            <w:pPr>
              <w:pStyle w:val="Normal"/>
              <w:widowControl w:val="false"/>
              <w:spacing w:lineRule="auto" w:line="240" w:before="0" w:after="0"/>
              <w:jc w:val="center"/>
              <w:rPr/>
            </w:pPr>
            <w:r>
              <w:rPr>
                <w:i/>
                <w:sz w:val="22"/>
                <w:szCs w:val="22"/>
              </w:rPr>
              <w:t xml:space="preserve">CRITERIOS DE EVALUACIÓN </w:t>
            </w:r>
          </w:p>
        </w:tc>
      </w:tr>
      <w:tr>
        <w:trPr/>
        <w:tc>
          <w:tcPr>
            <w:tcW w:w="2186" w:type="dxa"/>
            <w:tcBorders/>
            <w:shd w:color="auto" w:fill="auto" w:val="clear"/>
          </w:tcPr>
          <w:p>
            <w:pPr>
              <w:pStyle w:val="DC1"/>
              <w:widowControl w:val="false"/>
              <w:numPr>
                <w:ilvl w:val="0"/>
                <w:numId w:val="1"/>
              </w:numPr>
              <w:ind w:left="0" w:hanging="0"/>
              <w:rPr/>
            </w:pPr>
            <w:r>
              <w:rPr>
                <w:sz w:val="22"/>
                <w:szCs w:val="22"/>
              </w:rPr>
              <w:t>Determinación, a través del cálculo vectorial, del campo gravitatorio producido por un sistema de masas. Efectos sobre las variables cinemáticas y dinámicas de objetos inmersos en el campo.</w:t>
            </w:r>
          </w:p>
          <w:p>
            <w:pPr>
              <w:pStyle w:val="DC1"/>
              <w:widowControl w:val="false"/>
              <w:numPr>
                <w:ilvl w:val="0"/>
                <w:numId w:val="1"/>
              </w:numPr>
              <w:ind w:left="0" w:hanging="0"/>
              <w:rPr/>
            </w:pPr>
            <w:r>
              <w:rPr>
                <w:sz w:val="22"/>
                <w:szCs w:val="22"/>
              </w:rPr>
              <w:t>Momento angular de un objeto en un campo gravitatorio: cálculo, relación con las fuerzas centrales y aplicación de su conservación en el estudio de su movimiento.</w:t>
            </w:r>
          </w:p>
          <w:p>
            <w:pPr>
              <w:pStyle w:val="DC1"/>
              <w:widowControl w:val="false"/>
              <w:numPr>
                <w:ilvl w:val="0"/>
                <w:numId w:val="1"/>
              </w:numPr>
              <w:ind w:left="0" w:hanging="0"/>
              <w:rPr/>
            </w:pPr>
            <w:r>
              <w:rPr>
                <w:sz w:val="22"/>
                <w:szCs w:val="22"/>
              </w:rPr>
              <w:t>Energía mecánica de un objeto sometido a un campo gravitatorio: deducción del tipo de movimiento que posee, cálculo del trabajo o los balances energéticos existentes en desplazamientos entre distintas posiciones, velocidades y tipos de trayectorias.</w:t>
            </w:r>
          </w:p>
          <w:p>
            <w:pPr>
              <w:pStyle w:val="DC1"/>
              <w:widowControl w:val="false"/>
              <w:numPr>
                <w:ilvl w:val="0"/>
                <w:numId w:val="1"/>
              </w:numPr>
              <w:ind w:left="0" w:hanging="0"/>
              <w:rPr/>
            </w:pPr>
            <w:r>
              <w:rPr>
                <w:sz w:val="22"/>
                <w:szCs w:val="22"/>
              </w:rPr>
              <w:t>Leyes que se verifican en el movimiento planetario y extrapolación al movimiento de satélites y cuerpos celestes.</w:t>
            </w:r>
          </w:p>
          <w:p>
            <w:pPr>
              <w:pStyle w:val="DC1"/>
              <w:widowControl w:val="false"/>
              <w:numPr>
                <w:ilvl w:val="0"/>
                <w:numId w:val="1"/>
              </w:numPr>
              <w:ind w:left="0" w:hanging="0"/>
              <w:rPr/>
            </w:pPr>
            <w:r>
              <w:rPr>
                <w:sz w:val="22"/>
                <w:szCs w:val="22"/>
              </w:rPr>
              <w:t>Introducción a la cosmología y la astrofísica como aplicación del campo gravitatorio: implicación de la Física en la evolución de objetos astronómicos, del conocimiento del universo y repercusión de la investigación en estos ámbitos en la industria, la tecnología, la economía y en la sociedad.</w:t>
            </w:r>
          </w:p>
        </w:tc>
        <w:tc>
          <w:tcPr>
            <w:tcW w:w="6317" w:type="dxa"/>
            <w:tcBorders/>
            <w:shd w:color="auto" w:fill="auto" w:val="clear"/>
          </w:tcPr>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1.1. Reconocer la relevancia de la Física en el desarrollo de la ciencia, tecnología, la economía, la sociedad y la sostenibilidad ambiental, empleando adecuadamente los fundamentos científicos relativos a esos ámbitos.</w:t>
            </w:r>
          </w:p>
          <w:p>
            <w:pPr>
              <w:pStyle w:val="Normal"/>
              <w:widowControl w:val="false"/>
              <w:spacing w:lineRule="auto" w:line="240" w:before="0" w:after="0"/>
              <w:rPr/>
            </w:pPr>
            <w:r>
              <w:rPr>
                <w:sz w:val="22"/>
                <w:szCs w:val="22"/>
              </w:rPr>
              <w:t>1.2. Resolver problemas de manera experimental y analítica, utilizando principios, leyes y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2.1. Analizar y comprender la evolución de los sistemas naturales, utilizando modelos, leyes y teorías de la Física.</w:t>
            </w:r>
          </w:p>
          <w:p>
            <w:pPr>
              <w:pStyle w:val="Normal"/>
              <w:widowControl w:val="false"/>
              <w:spacing w:lineRule="auto" w:line="240" w:before="0" w:after="0"/>
              <w:rPr/>
            </w:pPr>
            <w:r>
              <w:rPr>
                <w:sz w:val="22"/>
                <w:szCs w:val="22"/>
              </w:rPr>
              <w:t>2.2. Inferir soluciones generales a problemas generales a partir del análisis de situaciones particulares y las variables de que dependen.</w:t>
            </w:r>
          </w:p>
          <w:p>
            <w:pPr>
              <w:pStyle w:val="Normal"/>
              <w:widowControl w:val="false"/>
              <w:spacing w:lineRule="auto" w:line="240" w:before="0" w:after="0"/>
              <w:rPr/>
            </w:pPr>
            <w:r>
              <w:rPr>
                <w:sz w:val="22"/>
                <w:szCs w:val="22"/>
              </w:rPr>
              <w:t>2.3. Conocer aplicaciones prácticas y productos útiles para la sociedad en el campo tecnológico, industrial y biosanitario, analizándolos en base a los modelos, las leyes y las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3.1. Aplicar los principios, leyes y teorías científicas en el análisis crítico de procesos físicos del entorno, como los observados y los publicados en distintos medios de comunicación, analizando, comprendiendo y explicando las causas que los producen.</w:t>
            </w:r>
          </w:p>
          <w:p>
            <w:pPr>
              <w:pStyle w:val="Normal"/>
              <w:widowControl w:val="false"/>
              <w:spacing w:lineRule="auto" w:line="240" w:before="0" w:after="0"/>
              <w:rPr/>
            </w:pPr>
            <w:r>
              <w:rPr>
                <w:sz w:val="22"/>
                <w:szCs w:val="22"/>
              </w:rPr>
              <w:t>3.2. Utilizar de manera rigurosa las unidades de las variables Físicas en diferentes sistemas de unidades, empleando correctamente su notación y sus equivalencias, así como la elaboración e interpretación adecuada de gráficas que relacionan variables Físicas, posibilitando una comunicación efectiva con toda la comunidad científica.</w:t>
            </w:r>
          </w:p>
          <w:p>
            <w:pPr>
              <w:pStyle w:val="Normal"/>
              <w:widowControl w:val="false"/>
              <w:spacing w:lineRule="auto" w:line="240" w:before="0" w:after="0"/>
              <w:rPr/>
            </w:pPr>
            <w:r>
              <w:rPr>
                <w:sz w:val="22"/>
                <w:szCs w:val="22"/>
              </w:rPr>
              <w:t>3.3. Expresar de forma adecuada los resultados, argumentando las soluciones obtenidas, en la resolución de los ejercicios y problemas que se plantean, bien sea a través de situaciones reales o ideales.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4.1. Consultar, elaborar e intercambiar materiales científicos y divulgativos en distintos formatos con otros miembros del entorno de aprendizaje, utilizando de forma autónoma y eficiente plataformas digitales.</w:t>
            </w:r>
          </w:p>
          <w:p>
            <w:pPr>
              <w:pStyle w:val="Normal"/>
              <w:widowControl w:val="false"/>
              <w:spacing w:lineRule="auto" w:line="240" w:before="0" w:after="0"/>
              <w:rPr/>
            </w:pPr>
            <w:r>
              <w:rPr>
                <w:sz w:val="22"/>
                <w:szCs w:val="22"/>
              </w:rPr>
              <w:t>4.2. Usar de forma crítica, ética y responsable medios de comunicación digitales y tradicionales como modo de enriquecer el aprendizaje y el trabajo individual y colectivo.</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5.1. Obtener relaciones entre variables Físicas, midiendo y tratando los datos experimentales, determinando los errores y utilizando sistemas de representación gráfica.</w:t>
            </w:r>
          </w:p>
          <w:p>
            <w:pPr>
              <w:pStyle w:val="Normal"/>
              <w:widowControl w:val="false"/>
              <w:spacing w:lineRule="auto" w:line="240" w:before="0" w:after="0"/>
              <w:rPr/>
            </w:pPr>
            <w:r>
              <w:rPr>
                <w:sz w:val="22"/>
                <w:szCs w:val="22"/>
              </w:rPr>
              <w:t>5.2. Reproducir en laboratorios, sean reales o virtuales, determinados procesos físicos modificando las variables que los condicionan, considerando los principios, leyes o teorías implicados, generando el correspondiente informe con formato adecuado e incluyendo argumentaciones, conclusiones, tablas de datos, gráficas y referencias bibliográficas.</w:t>
            </w:r>
          </w:p>
          <w:p>
            <w:pPr>
              <w:pStyle w:val="Normal"/>
              <w:widowControl w:val="false"/>
              <w:spacing w:lineRule="auto" w:line="240" w:before="0" w:after="0"/>
              <w:rPr/>
            </w:pPr>
            <w:r>
              <w:rPr>
                <w:sz w:val="22"/>
                <w:szCs w:val="22"/>
              </w:rPr>
              <w:t>5.3. Valorar la Física, debatiendo de forma fundamentada sobre sus avances y la implicación en la sociedad desde el punto de vista de la ética y de la sostenibilidad.</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6.1. Identificar los principales avances científicos relacionados con la Física que han contribuido a las leyes y teorías aceptadas actualmente en el conjunto de las disciplinas científicas, como las fases para el entendimiento de las metodologías de la ciencia, su evolución constante y su universalidad.</w:t>
            </w:r>
          </w:p>
          <w:p>
            <w:pPr>
              <w:pStyle w:val="Normal"/>
              <w:widowControl w:val="false"/>
              <w:spacing w:lineRule="auto" w:line="240" w:before="0" w:after="0"/>
              <w:rPr/>
            </w:pPr>
            <w:bookmarkStart w:id="16" w:name="__DdeLink__4378_621319393"/>
            <w:r>
              <w:rPr>
                <w:sz w:val="22"/>
                <w:szCs w:val="22"/>
              </w:rPr>
              <w:t>6.2. Reconocer el carácter multidisciplinar de la ciencia y las contribuciones de unas disciplinas sobre otras, estableciendo relaciones entre la Física y la Química, la Biología o las Matemáticas.</w:t>
            </w:r>
            <w:bookmarkEnd w:id="16"/>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libri" w:hAnsi="Calibri"/>
                <w:sz w:val="22"/>
                <w:szCs w:val="22"/>
              </w:rPr>
            </w:pPr>
            <w:r>
              <w:rPr>
                <w:sz w:val="22"/>
                <w:szCs w:val="22"/>
              </w:rPr>
            </w:r>
          </w:p>
        </w:tc>
      </w:tr>
      <w:tr>
        <w:trPr/>
        <w:tc>
          <w:tcPr>
            <w:tcW w:w="8503" w:type="dxa"/>
            <w:gridSpan w:val="2"/>
            <w:tcBorders/>
            <w:shd w:color="auto" w:fill="92CDDC" w:themeFill="accent5" w:themeFillTint="99" w:val="clear"/>
          </w:tcPr>
          <w:p>
            <w:pPr>
              <w:pStyle w:val="Normal"/>
              <w:widowControl w:val="false"/>
              <w:spacing w:lineRule="auto" w:line="240" w:before="0" w:after="0"/>
              <w:jc w:val="center"/>
              <w:rPr/>
            </w:pPr>
            <w:r>
              <w:rPr>
                <w:b/>
                <w:sz w:val="22"/>
                <w:szCs w:val="22"/>
              </w:rPr>
              <w:t>B. Campo electromagnético</w:t>
            </w:r>
          </w:p>
        </w:tc>
      </w:tr>
      <w:tr>
        <w:trPr/>
        <w:tc>
          <w:tcPr>
            <w:tcW w:w="8503" w:type="dxa"/>
            <w:gridSpan w:val="2"/>
            <w:tcBorders/>
            <w:shd w:color="auto" w:fill="DBE5F1" w:themeFill="accent1" w:themeFillTint="33" w:val="clear"/>
          </w:tcPr>
          <w:p>
            <w:pPr>
              <w:pStyle w:val="Normal"/>
              <w:widowControl w:val="false"/>
              <w:spacing w:lineRule="auto" w:line="240" w:before="0" w:after="0"/>
              <w:rPr/>
            </w:pPr>
            <w:r>
              <w:rPr>
                <w:color w:val="000000"/>
                <w:sz w:val="22"/>
                <w:szCs w:val="22"/>
              </w:rPr>
              <w:t>Este bloque de conocimientos, destrezas y actitudes debe permitir al alumnado realizar una aproximación con relativa profundidad al estudio de la interacción electromagnética. Una forma de afrontar dichos contenidos puede ser estableciendo tres sub-bloques: el estudio de la interacción electrostática y el estudio del campo eléctrico; el estudio de campo magnético y los fenómenos asociados; y finalmente el estudio de la interacción entre ambos campos y algunas de sus aplicaciones más importantes.</w:t>
            </w:r>
          </w:p>
        </w:tc>
      </w:tr>
      <w:tr>
        <w:trPr/>
        <w:tc>
          <w:tcPr>
            <w:tcW w:w="2186" w:type="dxa"/>
            <w:tcBorders/>
            <w:shd w:color="auto" w:fill="D9D9D9" w:themeFill="background1" w:themeFillShade="d9" w:val="clear"/>
          </w:tcPr>
          <w:p>
            <w:pPr>
              <w:pStyle w:val="Normal"/>
              <w:widowControl w:val="false"/>
              <w:spacing w:lineRule="auto" w:line="240" w:before="0" w:after="0"/>
              <w:jc w:val="center"/>
              <w:rPr/>
            </w:pPr>
            <w:r>
              <w:rPr>
                <w:i/>
                <w:sz w:val="22"/>
                <w:szCs w:val="22"/>
              </w:rPr>
              <w:t>Conocimientos, destrezas y actitudes</w:t>
            </w:r>
          </w:p>
        </w:tc>
        <w:tc>
          <w:tcPr>
            <w:tcW w:w="6317" w:type="dxa"/>
            <w:tcBorders/>
            <w:shd w:color="auto" w:fill="D9D9D9" w:themeFill="background1" w:themeFillShade="d9" w:val="clear"/>
          </w:tcPr>
          <w:p>
            <w:pPr>
              <w:pStyle w:val="Normal"/>
              <w:widowControl w:val="false"/>
              <w:spacing w:lineRule="auto" w:line="240" w:before="0" w:after="0"/>
              <w:jc w:val="center"/>
              <w:rPr/>
            </w:pPr>
            <w:r>
              <w:rPr>
                <w:i/>
                <w:sz w:val="22"/>
                <w:szCs w:val="22"/>
              </w:rPr>
              <w:t xml:space="preserve">Criterios de Evaluación </w:t>
            </w:r>
          </w:p>
        </w:tc>
      </w:tr>
      <w:tr>
        <w:trPr/>
        <w:tc>
          <w:tcPr>
            <w:tcW w:w="2186" w:type="dxa"/>
            <w:tcBorders/>
            <w:shd w:color="auto" w:fill="auto" w:val="clear"/>
          </w:tcPr>
          <w:p>
            <w:pPr>
              <w:pStyle w:val="DC1"/>
              <w:widowControl w:val="false"/>
              <w:numPr>
                <w:ilvl w:val="0"/>
                <w:numId w:val="1"/>
              </w:numPr>
              <w:ind w:left="0" w:hanging="0"/>
              <w:rPr/>
            </w:pPr>
            <w:r>
              <w:rPr>
                <w:sz w:val="22"/>
                <w:szCs w:val="22"/>
              </w:rPr>
              <w:t>Campos eléctrico y magnético: tratamiento vectorial, determinación de las variables cinemáticas y dinámicas de cargas eléctricas libres en presencia de estos campos. Fenómenos naturales y aplicaciones tecnológicas en los que se aprecian estos efectos.</w:t>
            </w:r>
          </w:p>
          <w:p>
            <w:pPr>
              <w:pStyle w:val="DC1"/>
              <w:widowControl w:val="false"/>
              <w:numPr>
                <w:ilvl w:val="0"/>
                <w:numId w:val="1"/>
              </w:numPr>
              <w:ind w:left="0" w:hanging="0"/>
              <w:rPr/>
            </w:pPr>
            <w:r>
              <w:rPr>
                <w:sz w:val="22"/>
                <w:szCs w:val="22"/>
              </w:rPr>
              <w:t>Intensidad del campo eléctrico en distribuciones de cargas discretas, y continuas: cálculo e interpretación del flujo de campo eléctrico.</w:t>
            </w:r>
          </w:p>
          <w:p>
            <w:pPr>
              <w:pStyle w:val="DC1"/>
              <w:widowControl w:val="false"/>
              <w:numPr>
                <w:ilvl w:val="0"/>
                <w:numId w:val="1"/>
              </w:numPr>
              <w:ind w:left="0" w:hanging="0"/>
              <w:rPr/>
            </w:pPr>
            <w:r>
              <w:rPr>
                <w:sz w:val="22"/>
                <w:szCs w:val="22"/>
              </w:rPr>
              <w:t>Energía de una distribución cargas estáticas: magnitudes que se modifican y que permanecen constantes con el desplazamiento de cargas libres entre puntos de distinto potencial eléctrico.</w:t>
            </w:r>
          </w:p>
          <w:p>
            <w:pPr>
              <w:pStyle w:val="DC1"/>
              <w:widowControl w:val="false"/>
              <w:numPr>
                <w:ilvl w:val="0"/>
                <w:numId w:val="1"/>
              </w:numPr>
              <w:ind w:left="0" w:hanging="0"/>
              <w:rPr/>
            </w:pPr>
            <w:r>
              <w:rPr>
                <w:sz w:val="22"/>
                <w:szCs w:val="22"/>
              </w:rPr>
              <w:t>Campos magnéticos generados por hilos con corriente eléctrica en distintas configuraciones geométricas: rectilíneos, espiras, solenoides o toros. Interacción con cargas eléctricas libres presentes en su entorno.</w:t>
            </w:r>
          </w:p>
          <w:p>
            <w:pPr>
              <w:pStyle w:val="DC1"/>
              <w:widowControl w:val="false"/>
              <w:numPr>
                <w:ilvl w:val="0"/>
                <w:numId w:val="1"/>
              </w:numPr>
              <w:ind w:left="0" w:hanging="0"/>
              <w:rPr/>
            </w:pPr>
            <w:r>
              <w:rPr>
                <w:sz w:val="22"/>
                <w:szCs w:val="22"/>
              </w:rPr>
              <w:t>Líneas de campo eléctrico y magnético producido por distribuciones de carga sencillas, imanes e hilos con corriente eléctrica en distintas configuraciones geométricas.</w:t>
            </w:r>
          </w:p>
          <w:p>
            <w:pPr>
              <w:pStyle w:val="DC1"/>
              <w:widowControl w:val="false"/>
              <w:numPr>
                <w:ilvl w:val="0"/>
                <w:numId w:val="1"/>
              </w:numPr>
              <w:ind w:left="0" w:hanging="0"/>
              <w:rPr/>
            </w:pPr>
            <w:r>
              <w:rPr>
                <w:sz w:val="22"/>
                <w:szCs w:val="22"/>
              </w:rPr>
              <w:t>Generación de la fuerza electromotriz: funcionamiento de motores, generadores y transformadores a partir de sistemas donde se produce una variación del flujo magnético.</w:t>
            </w:r>
          </w:p>
        </w:tc>
        <w:tc>
          <w:tcPr>
            <w:tcW w:w="6317" w:type="dxa"/>
            <w:tcBorders/>
            <w:shd w:color="auto" w:fill="auto" w:val="clear"/>
          </w:tcPr>
          <w:p>
            <w:pPr>
              <w:pStyle w:val="NormalWeb"/>
              <w:widowControl w:val="false"/>
              <w:spacing w:beforeAutospacing="0" w:before="0" w:afterAutospacing="0" w:after="0"/>
              <w:jc w:val="both"/>
              <w:rPr/>
            </w:pPr>
            <w:r>
              <w:rPr>
                <w:rFonts w:cs="Calibri" w:ascii="Calibri" w:hAnsi="Calibri"/>
                <w:color w:val="000000"/>
                <w:sz w:val="22"/>
                <w:szCs w:val="22"/>
              </w:rPr>
              <w:t xml:space="preserve"> </w:t>
            </w:r>
            <w:r>
              <w:rPr>
                <w:rFonts w:cs="Calibri" w:ascii="Calibri" w:hAnsi="Calibri"/>
                <w:color w:val="000000"/>
                <w:sz w:val="22"/>
                <w:szCs w:val="22"/>
              </w:rPr>
              <w:t>1.1. Reconocer la relevancia de la Física en el desarrollo de la ciencia, tecnología, la economía, la sociedad y la sostenibilidad ambiental, empleando adecuadamente los fundamentos científicos relativos a esos ámbitos.</w:t>
            </w:r>
          </w:p>
          <w:p>
            <w:pPr>
              <w:pStyle w:val="Normal"/>
              <w:widowControl w:val="false"/>
              <w:spacing w:lineRule="auto" w:line="240" w:before="0" w:after="0"/>
              <w:rPr/>
            </w:pPr>
            <w:r>
              <w:rPr>
                <w:sz w:val="22"/>
                <w:szCs w:val="22"/>
              </w:rPr>
              <w:t>1.2. Resolver problemas de manera experimental y analítica, utilizando principios, leyes y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2.1. Analizar y comprender la evolución de los sistemas naturales, utilizando modelos, leyes y teorías de la Física.</w:t>
            </w:r>
          </w:p>
          <w:p>
            <w:pPr>
              <w:pStyle w:val="Normal"/>
              <w:widowControl w:val="false"/>
              <w:spacing w:lineRule="auto" w:line="240" w:before="0" w:after="0"/>
              <w:rPr/>
            </w:pPr>
            <w:r>
              <w:rPr>
                <w:sz w:val="22"/>
                <w:szCs w:val="22"/>
              </w:rPr>
              <w:t>2.2. Inferir soluciones generales a problemas generales a partir del análisis de situaciones particulares y las variables de que dependen.</w:t>
            </w:r>
          </w:p>
          <w:p>
            <w:pPr>
              <w:pStyle w:val="Normal"/>
              <w:widowControl w:val="false"/>
              <w:spacing w:lineRule="auto" w:line="240" w:before="0" w:after="0"/>
              <w:rPr/>
            </w:pPr>
            <w:r>
              <w:rPr>
                <w:sz w:val="22"/>
                <w:szCs w:val="22"/>
              </w:rPr>
              <w:t>2.3. Conocer aplicaciones prácticas y productos útiles para la sociedad en el campo tecnológico, industrial y biosanitario, analizándolos en base a los modelos, las leyes y las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3.1. Aplicar los principios, leyes y teorías científicas en el análisis crítico de procesos físicos del entorno, como los observados y los publicados en distintos medios de comunicación, analizando, comprendiendo y explicando las causas que los producen.</w:t>
            </w:r>
          </w:p>
          <w:p>
            <w:pPr>
              <w:pStyle w:val="Normal"/>
              <w:widowControl w:val="false"/>
              <w:spacing w:lineRule="auto" w:line="240" w:before="0" w:after="0"/>
              <w:rPr/>
            </w:pPr>
            <w:r>
              <w:rPr>
                <w:sz w:val="22"/>
                <w:szCs w:val="22"/>
              </w:rPr>
              <w:t>3.2. Utilizar de manera rigurosa las unidades de las variables Físicas en diferentes sistemas de unidades, empleando correctamente su notación y sus equivalencias, así como la elaboración e interpretación adecuada de gráficas que relacionan variables Físicas, posibilitando una comunicación efectiva con toda la comunidad científica.</w:t>
            </w:r>
          </w:p>
          <w:p>
            <w:pPr>
              <w:pStyle w:val="Normal"/>
              <w:widowControl w:val="false"/>
              <w:spacing w:lineRule="auto" w:line="240" w:before="0" w:after="0"/>
              <w:rPr/>
            </w:pPr>
            <w:r>
              <w:rPr>
                <w:sz w:val="22"/>
                <w:szCs w:val="22"/>
              </w:rPr>
              <w:t>3.3. Expresar de forma adecuada los resultados, argumentando las soluciones obtenidas, en la resolución de los ejercicios y problemas que se plantean, bien sea a través de situaciones reales o ideales.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4.1. Consultar, elaborar e intercambiar materiales científicos y divulgativos en distintos formatos con otros miembros del entorno de aprendizaje, utilizando de forma autónoma y eficiente plataformas digitales.</w:t>
            </w:r>
          </w:p>
          <w:p>
            <w:pPr>
              <w:pStyle w:val="Normal"/>
              <w:widowControl w:val="false"/>
              <w:spacing w:lineRule="auto" w:line="240" w:before="0" w:after="0"/>
              <w:rPr/>
            </w:pPr>
            <w:r>
              <w:rPr>
                <w:sz w:val="22"/>
                <w:szCs w:val="22"/>
              </w:rPr>
              <w:t>4.2. Usar de forma crítica, ética y responsable medios de comunicación digitales y tradicionales como modo de enriquecer el aprendizaje y el trabajo individual y colectivo.</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5.1. Obtener relaciones entre variables Físicas, midiendo y tratando los datos experimentales, determinando los errores y utilizando sistemas de representación gráfica.</w:t>
            </w:r>
          </w:p>
          <w:p>
            <w:pPr>
              <w:pStyle w:val="Normal"/>
              <w:widowControl w:val="false"/>
              <w:spacing w:lineRule="auto" w:line="240" w:before="0" w:after="0"/>
              <w:rPr/>
            </w:pPr>
            <w:r>
              <w:rPr>
                <w:sz w:val="22"/>
                <w:szCs w:val="22"/>
              </w:rPr>
              <w:t>5.2. Reproducir en laboratorios, sean reales o virtuales, determinados procesos físicos modificando las variables que los condicionan, considerando los principios, leyes o teorías implicados, generando el correspondiente informe con formato adecuado e incluyendo argumentaciones, conclusiones, tablas de datos, gráficas y referencias bibliográficas.</w:t>
            </w:r>
          </w:p>
          <w:p>
            <w:pPr>
              <w:pStyle w:val="Normal"/>
              <w:widowControl w:val="false"/>
              <w:spacing w:lineRule="auto" w:line="240" w:before="0" w:after="0"/>
              <w:rPr/>
            </w:pPr>
            <w:r>
              <w:rPr>
                <w:sz w:val="22"/>
                <w:szCs w:val="22"/>
              </w:rPr>
              <w:t>5.3. Valorar la Física, debatiendo de forma fundamentada sobre sus avances y la implicación en la sociedad desde el punto de vista de la ética y de la sostenibilidad.</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6.1. Identificar los principales avances científicos relacionados con la Física que han contribuido a las leyes y teorías aceptadas actualmente en el conjunto de las disciplinas científicas, como las fases para el entendimiento de las metodologías de la ciencia, su evolución constante y su universalidad.</w:t>
            </w:r>
          </w:p>
          <w:p>
            <w:pPr>
              <w:pStyle w:val="NormalWeb"/>
              <w:widowControl w:val="false"/>
              <w:spacing w:beforeAutospacing="0" w:before="0" w:afterAutospacing="0" w:after="0"/>
              <w:jc w:val="both"/>
              <w:rPr/>
            </w:pPr>
            <w:r>
              <w:rPr>
                <w:rFonts w:cs="Calibri" w:ascii="Calibri" w:hAnsi="Calibri"/>
                <w:color w:val="000000"/>
                <w:sz w:val="22"/>
                <w:szCs w:val="22"/>
              </w:rPr>
              <w:t>6.2. Reconocer el carácter multidisciplinar de la ciencia y las contribuciones de unas disciplinas sobre otras, estableciendo relaciones entre la Física y la Química, la Biología o las Matemáticas.</w:t>
            </w:r>
          </w:p>
        </w:tc>
      </w:tr>
      <w:tr>
        <w:trPr/>
        <w:tc>
          <w:tcPr>
            <w:tcW w:w="8503" w:type="dxa"/>
            <w:gridSpan w:val="2"/>
            <w:tcBorders/>
            <w:shd w:color="auto" w:fill="92CDDC" w:themeFill="accent5" w:themeFillTint="99" w:val="clear"/>
          </w:tcPr>
          <w:p>
            <w:pPr>
              <w:pStyle w:val="Normal"/>
              <w:widowControl w:val="false"/>
              <w:spacing w:lineRule="auto" w:line="240" w:before="0" w:after="0"/>
              <w:jc w:val="center"/>
              <w:rPr/>
            </w:pPr>
            <w:r>
              <w:rPr>
                <w:b/>
                <w:sz w:val="22"/>
                <w:szCs w:val="22"/>
              </w:rPr>
              <w:t>C. Vibraciones y ondas</w:t>
            </w:r>
          </w:p>
        </w:tc>
      </w:tr>
      <w:tr>
        <w:trPr/>
        <w:tc>
          <w:tcPr>
            <w:tcW w:w="8503" w:type="dxa"/>
            <w:gridSpan w:val="2"/>
            <w:tcBorders/>
            <w:shd w:color="auto" w:fill="DBE5F1" w:themeFill="accent1" w:themeFillTint="33" w:val="clear"/>
          </w:tcPr>
          <w:p>
            <w:pPr>
              <w:pStyle w:val="Normal"/>
              <w:widowControl w:val="false"/>
              <w:spacing w:lineRule="auto" w:line="240" w:before="0" w:after="0"/>
              <w:rPr/>
            </w:pPr>
            <w:r>
              <w:rPr>
                <w:color w:val="000000"/>
                <w:sz w:val="22"/>
                <w:szCs w:val="22"/>
              </w:rPr>
              <w:t>El bloque de conocimientos, destrezas y actitudes dedicado al estudio del movimiento oscilatorio y las ondas engloba un amplio espectro de fenómenos físicos. En este sentido, podrían establecerse tres sub-bloques de conocimientos que de forma secuencial establezcan el desarrollo de todo el bloque. En primer lugar, se recomienda comenzar con el estudio del movimiento oscilatorio. En segundo lugar y partiendo de los conocimientos del primer sub-bloque se afronta el estudio del movimiento ondulatorio y los fenómenos naturales asociados a este (con una atención especial al estudio de las ondas de sonido). El último sub-bloque aborda el estudio de la naturaleza de la luz en su comportamiento ondulatorio, entre los que se encuentran los fenómenos más importantes relacionados con el estudio de la óptica.</w:t>
            </w:r>
          </w:p>
        </w:tc>
      </w:tr>
      <w:tr>
        <w:trPr/>
        <w:tc>
          <w:tcPr>
            <w:tcW w:w="2186" w:type="dxa"/>
            <w:tcBorders/>
            <w:shd w:color="auto" w:fill="D9D9D9" w:themeFill="background1" w:themeFillShade="d9" w:val="clear"/>
          </w:tcPr>
          <w:p>
            <w:pPr>
              <w:pStyle w:val="Normal"/>
              <w:widowControl w:val="false"/>
              <w:spacing w:lineRule="auto" w:line="240" w:before="0" w:after="0"/>
              <w:jc w:val="center"/>
              <w:rPr/>
            </w:pPr>
            <w:r>
              <w:rPr>
                <w:i/>
                <w:sz w:val="22"/>
                <w:szCs w:val="22"/>
              </w:rPr>
              <w:t>Conocimientos, destrezas y actitudes</w:t>
            </w:r>
          </w:p>
        </w:tc>
        <w:tc>
          <w:tcPr>
            <w:tcW w:w="6317" w:type="dxa"/>
            <w:tcBorders/>
            <w:shd w:color="auto" w:fill="D9D9D9" w:themeFill="background1" w:themeFillShade="d9" w:val="clear"/>
          </w:tcPr>
          <w:p>
            <w:pPr>
              <w:pStyle w:val="Normal"/>
              <w:widowControl w:val="false"/>
              <w:spacing w:lineRule="auto" w:line="240" w:before="0" w:after="0"/>
              <w:jc w:val="center"/>
              <w:rPr/>
            </w:pPr>
            <w:r>
              <w:rPr>
                <w:i/>
                <w:sz w:val="22"/>
                <w:szCs w:val="22"/>
              </w:rPr>
              <w:t xml:space="preserve">Criterios de evaluación </w:t>
            </w:r>
          </w:p>
        </w:tc>
      </w:tr>
      <w:tr>
        <w:trPr/>
        <w:tc>
          <w:tcPr>
            <w:tcW w:w="2186" w:type="dxa"/>
            <w:tcBorders/>
            <w:shd w:color="auto" w:fill="auto" w:val="clear"/>
          </w:tcPr>
          <w:p>
            <w:pPr>
              <w:pStyle w:val="DC1"/>
              <w:widowControl w:val="false"/>
              <w:numPr>
                <w:ilvl w:val="0"/>
                <w:numId w:val="1"/>
              </w:numPr>
              <w:ind w:left="0" w:hanging="0"/>
              <w:rPr/>
            </w:pPr>
            <w:r>
              <w:rPr>
                <w:sz w:val="22"/>
                <w:szCs w:val="22"/>
              </w:rPr>
              <w:t>Movimiento oscilatorio: variables cinemáticas de un cuerpo oscilante y conservación de energía en estos sistemas.</w:t>
            </w:r>
          </w:p>
          <w:p>
            <w:pPr>
              <w:pStyle w:val="DC1"/>
              <w:widowControl w:val="false"/>
              <w:numPr>
                <w:ilvl w:val="0"/>
                <w:numId w:val="1"/>
              </w:numPr>
              <w:ind w:left="0" w:hanging="0"/>
              <w:rPr/>
            </w:pPr>
            <w:r>
              <w:rPr>
                <w:sz w:val="22"/>
                <w:szCs w:val="22"/>
              </w:rPr>
              <w:t>Movimiento ondulatorio: gráficas de oscilación en función de la posición y del tiempo, ecuación de onda que lo describe y relación con el movimiento armónico simple. Distintos tipos de movimientos ondulatorios en la naturaleza.</w:t>
            </w:r>
          </w:p>
          <w:p>
            <w:pPr>
              <w:pStyle w:val="DC1"/>
              <w:widowControl w:val="false"/>
              <w:numPr>
                <w:ilvl w:val="0"/>
                <w:numId w:val="1"/>
              </w:numPr>
              <w:ind w:left="0" w:hanging="0"/>
              <w:rPr/>
            </w:pPr>
            <w:r>
              <w:rPr>
                <w:sz w:val="22"/>
                <w:szCs w:val="22"/>
              </w:rPr>
              <w:t>Fenómenos ondulatorios: situaciones y contextos naturales en los que se ponen de manifiesto distintos fenómenos ondulatorios y aplicaciones. Ondas sonoras y sus cualidades.</w:t>
            </w:r>
          </w:p>
          <w:p>
            <w:pPr>
              <w:pStyle w:val="DC1"/>
              <w:widowControl w:val="false"/>
              <w:numPr>
                <w:ilvl w:val="0"/>
                <w:numId w:val="1"/>
              </w:numPr>
              <w:ind w:left="0" w:hanging="0"/>
              <w:rPr/>
            </w:pPr>
            <w:r>
              <w:rPr>
                <w:sz w:val="22"/>
                <w:szCs w:val="22"/>
              </w:rPr>
              <w:t>Naturaleza de la luz: controversias y debates históricos. La luz como onda electromagnética. Espectro electromagnético.</w:t>
            </w:r>
          </w:p>
          <w:p>
            <w:pPr>
              <w:pStyle w:val="DC1"/>
              <w:widowControl w:val="false"/>
              <w:numPr>
                <w:ilvl w:val="0"/>
                <w:numId w:val="1"/>
              </w:numPr>
              <w:ind w:left="0" w:hanging="0"/>
              <w:rPr/>
            </w:pPr>
            <w:r>
              <w:rPr>
                <w:sz w:val="22"/>
                <w:szCs w:val="22"/>
              </w:rPr>
              <w:t>Formación de imágenes en medios y objetos con distinto índice de refracción. Sistemas ópticos: lentes delgadas, espejos planos y curvos y sus aplicaciones.</w:t>
            </w:r>
          </w:p>
        </w:tc>
        <w:tc>
          <w:tcPr>
            <w:tcW w:w="6317" w:type="dxa"/>
            <w:tcBorders/>
            <w:shd w:color="auto" w:fill="auto" w:val="clear"/>
          </w:tcPr>
          <w:p>
            <w:pPr>
              <w:pStyle w:val="Normal"/>
              <w:widowControl w:val="false"/>
              <w:spacing w:lineRule="auto" w:line="240" w:before="0" w:after="0"/>
              <w:rPr/>
            </w:pPr>
            <w:r>
              <w:rPr>
                <w:sz w:val="22"/>
                <w:szCs w:val="22"/>
              </w:rPr>
              <w:t>1.1. Reconocer la relevancia de la Física en el desarrollo de la ciencia, tecnología, la economía, la sociedad y la sostenibilidad ambiental, empleando adecuadamente los fundamentos científicos relativos a esos ámbitos.</w:t>
            </w:r>
          </w:p>
          <w:p>
            <w:pPr>
              <w:pStyle w:val="Normal"/>
              <w:widowControl w:val="false"/>
              <w:spacing w:lineRule="auto" w:line="240" w:before="0" w:after="0"/>
              <w:rPr/>
            </w:pPr>
            <w:r>
              <w:rPr>
                <w:sz w:val="22"/>
                <w:szCs w:val="22"/>
              </w:rPr>
              <w:t>1.2. Resolver problemas de manera experimental y analítica, utilizando principios, leyes y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2.1. Analizar y comprender la evolución de los sistemas naturales, utilizando modelos, leyes y teorías de la Física.</w:t>
            </w:r>
          </w:p>
          <w:p>
            <w:pPr>
              <w:pStyle w:val="Normal"/>
              <w:widowControl w:val="false"/>
              <w:spacing w:lineRule="auto" w:line="240" w:before="0" w:after="0"/>
              <w:rPr/>
            </w:pPr>
            <w:r>
              <w:rPr>
                <w:sz w:val="22"/>
                <w:szCs w:val="22"/>
              </w:rPr>
              <w:t>2.2. Inferir soluciones generales a problemas generales a partir del análisis de situaciones particulares y las variables de que dependen.</w:t>
            </w:r>
          </w:p>
          <w:p>
            <w:pPr>
              <w:pStyle w:val="Normal"/>
              <w:widowControl w:val="false"/>
              <w:spacing w:lineRule="auto" w:line="240" w:before="0" w:after="0"/>
              <w:rPr/>
            </w:pPr>
            <w:r>
              <w:rPr>
                <w:sz w:val="22"/>
                <w:szCs w:val="22"/>
              </w:rPr>
              <w:t>2.3. Conocer aplicaciones prácticas y productos útiles para la sociedad en el campo tecnológico, industrial y biosanitario, analizándolos en base a los modelos, las leyes y las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3.1. Aplicar los principios, leyes y teorías científicas en el análisis crítico de procesos físicos del entorno, como los observados y los publicados en distintos medios de comunicación, analizando, comprendiendo y explicando las causas que los producen.</w:t>
            </w:r>
          </w:p>
          <w:p>
            <w:pPr>
              <w:pStyle w:val="Normal"/>
              <w:widowControl w:val="false"/>
              <w:spacing w:lineRule="auto" w:line="240" w:before="0" w:after="0"/>
              <w:rPr/>
            </w:pPr>
            <w:r>
              <w:rPr>
                <w:sz w:val="22"/>
                <w:szCs w:val="22"/>
              </w:rPr>
              <w:t>3.2. Utilizar de manera rigurosa las unidades de las variables Físicas en diferentes sistemas de unidades, empleando correctamente su notación y sus equivalencias, así como la elaboración e interpretación adecuada de gráficas que relacionan variables Físicas, posibilitando una comunicación efectiva con toda la comunidad científica.</w:t>
            </w:r>
          </w:p>
          <w:p>
            <w:pPr>
              <w:pStyle w:val="Normal"/>
              <w:widowControl w:val="false"/>
              <w:spacing w:lineRule="auto" w:line="240" w:before="0" w:after="0"/>
              <w:rPr/>
            </w:pPr>
            <w:r>
              <w:rPr>
                <w:sz w:val="22"/>
                <w:szCs w:val="22"/>
              </w:rPr>
              <w:t>3.3. Expresar de forma adecuada los resultados, argumentando las soluciones obtenidas, en la resolución de los ejercicios y problemas que se plantean, bien sea a través de situaciones reales o ideales.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4.1. Consultar, elaborar e intercambiar materiales científicos y divulgativos en distintos formatos con otros miembros del entorno de aprendizaje, utilizando de forma autónoma y eficiente plataformas digitales.</w:t>
            </w:r>
          </w:p>
          <w:p>
            <w:pPr>
              <w:pStyle w:val="Normal"/>
              <w:widowControl w:val="false"/>
              <w:spacing w:lineRule="auto" w:line="240" w:before="0" w:after="0"/>
              <w:rPr/>
            </w:pPr>
            <w:r>
              <w:rPr>
                <w:sz w:val="22"/>
                <w:szCs w:val="22"/>
              </w:rPr>
              <w:t>4.2. Usar de forma crítica, ética y responsable medios de comunicación digitales y tradicionales como modo de enriquecer el aprendizaje y el trabajo individual y colectivo.</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5.1. Obtener relaciones entre variables Físicas, midiendo y tratando los datos experimentales, determinando los errores y utilizando sistemas de representación gráfica.</w:t>
            </w:r>
          </w:p>
          <w:p>
            <w:pPr>
              <w:pStyle w:val="Normal"/>
              <w:widowControl w:val="false"/>
              <w:spacing w:lineRule="auto" w:line="240" w:before="0" w:after="0"/>
              <w:rPr/>
            </w:pPr>
            <w:r>
              <w:rPr>
                <w:sz w:val="22"/>
                <w:szCs w:val="22"/>
              </w:rPr>
              <w:t>5.2. Reproducir en laboratorios, sean reales o virtuales, determinados procesos físicos modificando las variables que los condicionan, considerando los principios, leyes o teorías implicados, generando el correspondiente informe con formato adecuado e incluyendo argumentaciones, conclusiones, tablas de datos, gráficas y referencias bibliográficas.</w:t>
            </w:r>
          </w:p>
          <w:p>
            <w:pPr>
              <w:pStyle w:val="Normal"/>
              <w:widowControl w:val="false"/>
              <w:spacing w:lineRule="auto" w:line="240" w:before="0" w:after="0"/>
              <w:rPr/>
            </w:pPr>
            <w:r>
              <w:rPr>
                <w:sz w:val="22"/>
                <w:szCs w:val="22"/>
              </w:rPr>
              <w:t>5.3. Valorar la Física, debatiendo de forma fundamentada sobre sus avances y la implicación en la sociedad desde el punto de vista de la ética y de la sostenibilidad.</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6.1. Identificar los principales avances científicos relacionados con la Física que han contribuido a las leyes y teorías aceptadas actualmente en el conjunto de las disciplinas científicas, como las fases para el entendimiento de las metodologías de la ciencia, su evolución constante y su universalidad.</w:t>
            </w:r>
          </w:p>
          <w:p>
            <w:pPr>
              <w:pStyle w:val="Normal"/>
              <w:widowControl w:val="false"/>
              <w:spacing w:lineRule="auto" w:line="240" w:before="0" w:after="0"/>
              <w:rPr/>
            </w:pPr>
            <w:r>
              <w:rPr>
                <w:sz w:val="22"/>
                <w:szCs w:val="22"/>
              </w:rPr>
              <w:t>6.2. Reconocer el carácter multidisciplinar de la ciencia y las contribuciones de unas disciplinas sobre otras, estableciendo relaciones entre la Física y la Química, la Biología o las Matemáticas.</w:t>
            </w:r>
          </w:p>
        </w:tc>
      </w:tr>
      <w:tr>
        <w:trPr/>
        <w:tc>
          <w:tcPr>
            <w:tcW w:w="8503" w:type="dxa"/>
            <w:gridSpan w:val="2"/>
            <w:tcBorders/>
            <w:shd w:color="auto" w:fill="92CDDC" w:themeFill="accent5" w:themeFillTint="99" w:val="clear"/>
          </w:tcPr>
          <w:p>
            <w:pPr>
              <w:pStyle w:val="Normal"/>
              <w:widowControl w:val="false"/>
              <w:spacing w:lineRule="auto" w:line="240" w:before="0" w:after="0"/>
              <w:jc w:val="center"/>
              <w:rPr/>
            </w:pPr>
            <w:r>
              <w:rPr>
                <w:b/>
                <w:sz w:val="22"/>
                <w:szCs w:val="22"/>
              </w:rPr>
              <w:t>D. Física relativista, cuántica, nuclear y de partículas</w:t>
            </w:r>
          </w:p>
        </w:tc>
      </w:tr>
      <w:tr>
        <w:trPr/>
        <w:tc>
          <w:tcPr>
            <w:tcW w:w="8503" w:type="dxa"/>
            <w:gridSpan w:val="2"/>
            <w:tcBorders/>
            <w:shd w:color="auto" w:fill="DBE5F1" w:themeFill="accent1" w:themeFillTint="33" w:val="clear"/>
          </w:tcPr>
          <w:p>
            <w:pPr>
              <w:pStyle w:val="Normal"/>
              <w:widowControl w:val="false"/>
              <w:spacing w:lineRule="auto" w:line="240" w:before="0" w:after="0"/>
              <w:rPr/>
            </w:pPr>
            <w:r>
              <w:rPr>
                <w:color w:val="000000"/>
                <w:sz w:val="22"/>
                <w:szCs w:val="22"/>
              </w:rPr>
              <w:t>Los contenidos desarrollados hasta este momento cierran los fundamentos del imponente edificio que se conoce como Física Clásica y corresponde a todos los saberes que implican a la Física, acumulados desde el principio de los tiempos hasta comienzos del siglo XX. En ese momento, nada indicaba que pudieran aparecer fisuras en este edificio, sin embargo, una serie de fenómenos sin explicar dan origen a lo que conocemos como revolución relativista y cuántica, asociadas a la formulación de la teoría de la relatividad y a la mecánica cuántica. Esta crisis en la concepción de la naturaleza y el universo durante el primer cuarto del siglo XX da origen al desarrollo de la Física Moderna.</w:t>
            </w:r>
          </w:p>
        </w:tc>
      </w:tr>
      <w:tr>
        <w:trPr/>
        <w:tc>
          <w:tcPr>
            <w:tcW w:w="2186" w:type="dxa"/>
            <w:tcBorders/>
            <w:shd w:color="auto" w:fill="D9D9D9" w:themeFill="background1" w:themeFillShade="d9" w:val="clear"/>
          </w:tcPr>
          <w:p>
            <w:pPr>
              <w:pStyle w:val="Normal"/>
              <w:widowControl w:val="false"/>
              <w:spacing w:lineRule="auto" w:line="240" w:before="0" w:after="0"/>
              <w:jc w:val="center"/>
              <w:rPr/>
            </w:pPr>
            <w:r>
              <w:rPr>
                <w:i/>
                <w:sz w:val="22"/>
                <w:szCs w:val="22"/>
              </w:rPr>
              <w:t>Conocimientos, destrezas y actitudes</w:t>
            </w:r>
          </w:p>
        </w:tc>
        <w:tc>
          <w:tcPr>
            <w:tcW w:w="6317" w:type="dxa"/>
            <w:tcBorders/>
            <w:shd w:color="auto" w:fill="D9D9D9" w:themeFill="background1" w:themeFillShade="d9" w:val="clear"/>
          </w:tcPr>
          <w:p>
            <w:pPr>
              <w:pStyle w:val="Normal"/>
              <w:widowControl w:val="false"/>
              <w:spacing w:lineRule="auto" w:line="240" w:before="0" w:after="0"/>
              <w:jc w:val="center"/>
              <w:rPr/>
            </w:pPr>
            <w:r>
              <w:rPr>
                <w:i/>
                <w:sz w:val="22"/>
                <w:szCs w:val="22"/>
              </w:rPr>
              <w:t>Orientaciones para la enseñanza</w:t>
            </w:r>
          </w:p>
        </w:tc>
      </w:tr>
      <w:tr>
        <w:trPr/>
        <w:tc>
          <w:tcPr>
            <w:tcW w:w="2186" w:type="dxa"/>
            <w:tcBorders/>
            <w:shd w:color="auto" w:fill="auto" w:val="clear"/>
          </w:tcPr>
          <w:p>
            <w:pPr>
              <w:pStyle w:val="DC1"/>
              <w:widowControl w:val="false"/>
              <w:numPr>
                <w:ilvl w:val="0"/>
                <w:numId w:val="1"/>
              </w:numPr>
              <w:ind w:left="0" w:hanging="0"/>
              <w:rPr/>
            </w:pPr>
            <w:r>
              <w:rPr>
                <w:sz w:val="22"/>
                <w:szCs w:val="22"/>
              </w:rPr>
              <w:t>Principios de la relatividad, de la Física cuántica y de la Física de partículas en el estudio de las principales partículas involucradas en la Física atómica y nuclear: propiedades e interacciones. Implicaciones de la dualidad onda-corpúsculo y del principio de incertidumbre.</w:t>
            </w:r>
          </w:p>
          <w:p>
            <w:pPr>
              <w:pStyle w:val="DC1"/>
              <w:widowControl w:val="false"/>
              <w:numPr>
                <w:ilvl w:val="0"/>
                <w:numId w:val="1"/>
              </w:numPr>
              <w:ind w:left="0" w:hanging="0"/>
              <w:rPr/>
            </w:pPr>
            <w:r>
              <w:rPr>
                <w:sz w:val="22"/>
                <w:szCs w:val="22"/>
              </w:rPr>
              <w:t>El efecto fotoeléctrico como sistema de transformación energética y de producción de diferencias de potencial eléctrico para su aplicación tecnológica.</w:t>
            </w:r>
          </w:p>
          <w:p>
            <w:pPr>
              <w:pStyle w:val="DC1"/>
              <w:widowControl w:val="false"/>
              <w:numPr>
                <w:ilvl w:val="0"/>
                <w:numId w:val="1"/>
              </w:numPr>
              <w:ind w:left="0" w:hanging="0"/>
              <w:rPr/>
            </w:pPr>
            <w:r>
              <w:rPr>
                <w:sz w:val="22"/>
                <w:szCs w:val="22"/>
              </w:rPr>
              <w:t>Radiactividad natural: procesos y constantes implicados que permiten el cálculo de la variación poblacional y actividad de muestras radiactivas. Aplicación en el campo de las ciencias y de la salud.</w:t>
            </w:r>
          </w:p>
        </w:tc>
        <w:tc>
          <w:tcPr>
            <w:tcW w:w="6317" w:type="dxa"/>
            <w:tcBorders/>
            <w:shd w:color="auto" w:fill="auto" w:val="clear"/>
          </w:tcPr>
          <w:p>
            <w:pPr>
              <w:pStyle w:val="Normal"/>
              <w:widowControl w:val="false"/>
              <w:spacing w:lineRule="auto" w:line="240" w:before="0" w:after="0"/>
              <w:rPr/>
            </w:pPr>
            <w:r>
              <w:rPr>
                <w:sz w:val="22"/>
                <w:szCs w:val="22"/>
              </w:rPr>
              <w:t>1.1. Reconocer la relevancia de la Física en el desarrollo de la ciencia, tecnología, la economía, la sociedad y la sostenibilidad ambiental, empleando adecuadamente los fundamentos científicos relativos a esos ámbitos.</w:t>
            </w:r>
          </w:p>
          <w:p>
            <w:pPr>
              <w:pStyle w:val="Normal"/>
              <w:widowControl w:val="false"/>
              <w:spacing w:lineRule="auto" w:line="240" w:before="0" w:after="0"/>
              <w:rPr/>
            </w:pPr>
            <w:r>
              <w:rPr>
                <w:sz w:val="22"/>
                <w:szCs w:val="22"/>
              </w:rPr>
              <w:t>1.2. Resolver problemas de manera experimental y analítica, utilizando principios, leyes y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2.1. Analizar y comprender la evolución de los sistemas naturales, utilizando modelos, leyes y teorías de la Física.</w:t>
            </w:r>
          </w:p>
          <w:p>
            <w:pPr>
              <w:pStyle w:val="Normal"/>
              <w:widowControl w:val="false"/>
              <w:spacing w:lineRule="auto" w:line="240" w:before="0" w:after="0"/>
              <w:rPr/>
            </w:pPr>
            <w:r>
              <w:rPr>
                <w:sz w:val="22"/>
                <w:szCs w:val="22"/>
              </w:rPr>
              <w:t>2.2. Inferir soluciones generales a problemas generales a partir del análisis de situaciones particulares y las variables de que dependen.</w:t>
            </w:r>
          </w:p>
          <w:p>
            <w:pPr>
              <w:pStyle w:val="Normal"/>
              <w:widowControl w:val="false"/>
              <w:spacing w:lineRule="auto" w:line="240" w:before="0" w:after="0"/>
              <w:rPr/>
            </w:pPr>
            <w:r>
              <w:rPr>
                <w:sz w:val="22"/>
                <w:szCs w:val="22"/>
              </w:rPr>
              <w:t>2.3. Conocer aplicaciones prácticas y productos útiles para la sociedad en el campo tecnológico, industrial y biosanitario, analizándolos en base a los modelos, las leyes y las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3.1. Aplicar los principios, leyes y teorías científicas en el análisis crítico de procesos físicos del entorno, como los observados y los publicados en distintos medios de comunicación, analizando, comprendiendo y explicando las causas que los producen.</w:t>
            </w:r>
          </w:p>
          <w:p>
            <w:pPr>
              <w:pStyle w:val="Normal"/>
              <w:widowControl w:val="false"/>
              <w:spacing w:lineRule="auto" w:line="240" w:before="0" w:after="0"/>
              <w:rPr/>
            </w:pPr>
            <w:r>
              <w:rPr>
                <w:sz w:val="22"/>
                <w:szCs w:val="22"/>
              </w:rPr>
              <w:t>3.2. Utilizar de manera rigurosa las unidades de las variables Físicas en diferentes sistemas de unidades, empleando correctamente su notación y sus equivalencias, así como la elaboración e interpretación adecuada de gráficas que relacionan variables Físicas, posibilitando una comunicación efectiva con toda la comunidad científica.</w:t>
            </w:r>
          </w:p>
          <w:p>
            <w:pPr>
              <w:pStyle w:val="Normal"/>
              <w:widowControl w:val="false"/>
              <w:spacing w:lineRule="auto" w:line="240" w:before="0" w:after="0"/>
              <w:rPr/>
            </w:pPr>
            <w:r>
              <w:rPr>
                <w:sz w:val="22"/>
                <w:szCs w:val="22"/>
              </w:rPr>
              <w:t>3.3. Expresar de forma adecuada los resultados, argumentando las soluciones obtenidas, en la resolución de los ejercicios y problemas que se plantean, bien sea a través de situaciones reales o ideales.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4.1. Consultar, elaborar e intercambiar materiales científicos y divulgativos en distintos formatos con otros miembros del entorno de aprendizaje, utilizando de forma autónoma y eficiente plataformas digitales.</w:t>
            </w:r>
          </w:p>
          <w:p>
            <w:pPr>
              <w:pStyle w:val="Normal"/>
              <w:widowControl w:val="false"/>
              <w:spacing w:lineRule="auto" w:line="240" w:before="0" w:after="0"/>
              <w:rPr/>
            </w:pPr>
            <w:r>
              <w:rPr>
                <w:sz w:val="22"/>
                <w:szCs w:val="22"/>
              </w:rPr>
              <w:t>4.2. Usar de forma crítica, ética y responsable medios de comunicación digitales y tradicionales como modo de enriquecer el aprendizaje y el trabajo individual y colectivo.</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5.1. Obtener relaciones entre variables Físicas, midiendo y tratando los datos experimentales, determinando los errores y utilizando sistemas de representación gráfica.</w:t>
            </w:r>
          </w:p>
          <w:p>
            <w:pPr>
              <w:pStyle w:val="Normal"/>
              <w:widowControl w:val="false"/>
              <w:spacing w:lineRule="auto" w:line="240" w:before="0" w:after="0"/>
              <w:rPr/>
            </w:pPr>
            <w:r>
              <w:rPr>
                <w:sz w:val="22"/>
                <w:szCs w:val="22"/>
              </w:rPr>
              <w:t>5.2. Reproducir en laboratorios, sean reales o virtuales, determinados procesos físicos modificando las variables que los condicionan, considerando los principios, leyes o teorías implicados, generando el correspondiente informe con formato adecuado e incluyendo argumentaciones, conclusiones, tablas de datos, gráficas y referencias bibliográficas.</w:t>
            </w:r>
          </w:p>
          <w:p>
            <w:pPr>
              <w:pStyle w:val="Normal"/>
              <w:widowControl w:val="false"/>
              <w:spacing w:lineRule="auto" w:line="240" w:before="0" w:after="0"/>
              <w:rPr/>
            </w:pPr>
            <w:r>
              <w:rPr>
                <w:sz w:val="22"/>
                <w:szCs w:val="22"/>
              </w:rPr>
              <w:t>5.3. Valorar la Física, debatiendo de forma fundamentada sobre sus avances y la implicación en la sociedad desde el punto de vista de la ética y de la sostenibilidad.</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6.1. Identificar los principales avances científicos relacionados con la Física que han contribuido a las leyes y teorías aceptadas actualmente en el conjunto de las disciplinas científicas, como las fases para el entendimiento de las metodologías de la ciencia, su evolución constante y su universalidad.</w:t>
            </w:r>
          </w:p>
          <w:p>
            <w:pPr>
              <w:pStyle w:val="Normal"/>
              <w:widowControl w:val="false"/>
              <w:spacing w:lineRule="auto" w:line="240" w:before="0" w:after="0"/>
              <w:rPr/>
            </w:pPr>
            <w:r>
              <w:rPr>
                <w:sz w:val="22"/>
                <w:szCs w:val="22"/>
              </w:rPr>
              <w:t>6.2. Reconocer el carácter multidisciplinar de la ciencia y las contribuciones de unas disciplinas sobre otras, estableciendo relaciones entre la Física y la Química, la Biología o las Matemáticas.</w:t>
            </w:r>
          </w:p>
        </w:tc>
      </w:tr>
    </w:tbl>
    <w:p>
      <w:pPr>
        <w:pStyle w:val="Ttulo1"/>
        <w:jc w:val="both"/>
        <w:rPr>
          <w:rFonts w:ascii="Calibri" w:hAnsi="Calibri"/>
          <w:sz w:val="22"/>
          <w:szCs w:val="22"/>
        </w:rPr>
      </w:pPr>
      <w:r>
        <w:rPr>
          <w:sz w:val="22"/>
          <w:szCs w:val="22"/>
        </w:rPr>
      </w:r>
    </w:p>
    <w:p>
      <w:pPr>
        <w:pStyle w:val="Normal"/>
        <w:jc w:val="both"/>
        <w:rPr/>
      </w:pPr>
      <w:r>
        <w:rPr>
          <w:b/>
          <w:bCs/>
          <w:sz w:val="22"/>
          <w:szCs w:val="22"/>
          <w:u w:val="single"/>
        </w:rPr>
        <w:t xml:space="preserve">Temporalización: </w:t>
      </w:r>
    </w:p>
    <w:p>
      <w:pPr>
        <w:pStyle w:val="Normal"/>
        <w:jc w:val="both"/>
        <w:rPr/>
      </w:pPr>
      <w:r>
        <w:rPr>
          <w:strike w:val="false"/>
          <w:dstrike w:val="false"/>
          <w:sz w:val="22"/>
          <w:szCs w:val="22"/>
          <w:u w:val="none"/>
        </w:rPr>
        <w:t>1ªEVA Campo Gravitatorio</w:t>
      </w:r>
    </w:p>
    <w:p>
      <w:pPr>
        <w:pStyle w:val="Normal"/>
        <w:jc w:val="both"/>
        <w:rPr/>
      </w:pPr>
      <w:r>
        <w:rPr>
          <w:strike w:val="false"/>
          <w:dstrike w:val="false"/>
          <w:sz w:val="22"/>
          <w:szCs w:val="22"/>
          <w:u w:val="none"/>
        </w:rPr>
        <w:t>2ªEVA Ondas</w:t>
      </w:r>
    </w:p>
    <w:p>
      <w:pPr>
        <w:pStyle w:val="Normal"/>
        <w:jc w:val="both"/>
        <w:rPr/>
      </w:pPr>
      <w:r>
        <w:rPr>
          <w:strike w:val="false"/>
          <w:dstrike w:val="false"/>
          <w:sz w:val="22"/>
          <w:szCs w:val="22"/>
          <w:u w:val="none"/>
        </w:rPr>
        <w:t xml:space="preserve">3ªEVA Campo electroacústico, Óptica y Física Moderna </w:t>
      </w:r>
    </w:p>
    <w:p>
      <w:pPr>
        <w:pStyle w:val="Normal"/>
        <w:jc w:val="both"/>
        <w:rPr>
          <w:rFonts w:ascii="Calibri" w:hAnsi="Calibri"/>
          <w:sz w:val="22"/>
          <w:szCs w:val="22"/>
          <w:u w:val="single"/>
        </w:rPr>
      </w:pPr>
      <w:r>
        <w:rPr>
          <w:sz w:val="22"/>
          <w:szCs w:val="22"/>
          <w:u w:val="single"/>
        </w:rPr>
      </w:r>
    </w:p>
    <w:p>
      <w:pPr>
        <w:pStyle w:val="Normal"/>
        <w:jc w:val="both"/>
        <w:rPr/>
      </w:pPr>
      <w:r>
        <w:rPr>
          <w:rFonts w:eastAsia="Cambria" w:cs="Cambria"/>
          <w:b/>
          <w:sz w:val="22"/>
          <w:szCs w:val="22"/>
          <w:u w:val="single"/>
        </w:rPr>
        <w:t>3. PROCEDIMIENTOS E INSTRUMENTOS DE EVALUACIÓN</w:t>
      </w:r>
    </w:p>
    <w:p>
      <w:pPr>
        <w:pStyle w:val="Estiloparrafos"/>
        <w:spacing w:before="0" w:after="120"/>
        <w:rPr/>
      </w:pPr>
      <w:r>
        <w:rPr>
          <w:rFonts w:ascii="Calibri" w:hAnsi="Calibri"/>
          <w:sz w:val="22"/>
          <w:szCs w:val="22"/>
        </w:rPr>
        <w:t>Por medio de los procedimientos evaluaremos, no solo al alumno, sino también la actividad educativa que se desarrolla en el aula, así como todos los elementos que integran el proceso de enseñanza-aprendizaje.</w:t>
      </w:r>
    </w:p>
    <w:p>
      <w:pPr>
        <w:pStyle w:val="Estiloparrafos"/>
        <w:spacing w:before="0" w:after="120"/>
        <w:rPr/>
      </w:pPr>
      <w:r>
        <w:rPr>
          <w:rFonts w:ascii="Calibri" w:hAnsi="Calibri"/>
          <w:sz w:val="22"/>
          <w:szCs w:val="22"/>
        </w:rPr>
        <w:t>De esta manera las actividades de evaluación servirán para conocer la adecuación del proceso educativo a las características del alumno (evaluación continua), y ajustar la ayuda pedagógica a sus necesidades reales (evaluación formativa); y conocer, en definitiva, el nivel de desarrollo intelectual y personal alcanzado por el alumno, en todos sus aspectos, y como resultado de la intervención educativa (evaluación integradora).</w:t>
      </w:r>
    </w:p>
    <w:p>
      <w:pPr>
        <w:pStyle w:val="Estiloparrafos"/>
        <w:spacing w:before="0" w:after="120"/>
        <w:rPr/>
      </w:pPr>
      <w:r>
        <w:rPr>
          <w:rFonts w:ascii="Calibri" w:hAnsi="Calibri"/>
          <w:sz w:val="22"/>
          <w:szCs w:val="22"/>
        </w:rPr>
        <w:t xml:space="preserve">Los </w:t>
      </w:r>
      <w:r>
        <w:rPr>
          <w:rFonts w:ascii="Calibri" w:hAnsi="Calibri"/>
          <w:b/>
          <w:bCs/>
          <w:sz w:val="22"/>
          <w:szCs w:val="22"/>
        </w:rPr>
        <w:t>instrumentos de evaluación</w:t>
      </w:r>
      <w:r>
        <w:rPr>
          <w:rFonts w:ascii="Calibri" w:hAnsi="Calibri"/>
          <w:sz w:val="22"/>
          <w:szCs w:val="22"/>
        </w:rPr>
        <w:t xml:space="preserve"> que utilizaremos son los siguientes: </w:t>
      </w:r>
    </w:p>
    <w:p>
      <w:pPr>
        <w:pStyle w:val="Estiloparrafos"/>
        <w:numPr>
          <w:ilvl w:val="0"/>
          <w:numId w:val="3"/>
        </w:numPr>
        <w:spacing w:before="0" w:after="120"/>
        <w:ind w:left="567" w:hanging="360"/>
        <w:rPr/>
      </w:pPr>
      <w:r>
        <w:rPr>
          <w:rFonts w:ascii="Calibri" w:hAnsi="Calibri"/>
          <w:sz w:val="22"/>
          <w:szCs w:val="22"/>
        </w:rPr>
        <w:t>Observación sistemática del trabajo diario (atención, participación, colaboración y respeto a los demás y a los materiales).</w:t>
      </w:r>
    </w:p>
    <w:p>
      <w:pPr>
        <w:pStyle w:val="Estiloparrafos"/>
        <w:numPr>
          <w:ilvl w:val="0"/>
          <w:numId w:val="3"/>
        </w:numPr>
        <w:spacing w:before="0" w:after="120"/>
        <w:ind w:left="567" w:hanging="360"/>
        <w:rPr/>
      </w:pPr>
      <w:r>
        <w:rPr>
          <w:rFonts w:ascii="Calibri" w:hAnsi="Calibri"/>
          <w:sz w:val="22"/>
          <w:szCs w:val="22"/>
        </w:rPr>
        <w:t xml:space="preserve">Realización de un cuestionarios web o de trabajos. </w:t>
      </w:r>
    </w:p>
    <w:p>
      <w:pPr>
        <w:pStyle w:val="Estiloparrafos"/>
        <w:numPr>
          <w:ilvl w:val="0"/>
          <w:numId w:val="3"/>
        </w:numPr>
        <w:spacing w:before="0" w:after="120"/>
        <w:ind w:left="567" w:hanging="360"/>
        <w:rPr/>
      </w:pPr>
      <w:r>
        <w:rPr>
          <w:rFonts w:ascii="Calibri" w:hAnsi="Calibri"/>
          <w:sz w:val="22"/>
          <w:szCs w:val="22"/>
        </w:rPr>
        <w:t>Informes de prácticas de laboratorio si las hubiera.</w:t>
      </w:r>
    </w:p>
    <w:p>
      <w:pPr>
        <w:pStyle w:val="Estiloparrafos"/>
        <w:numPr>
          <w:ilvl w:val="0"/>
          <w:numId w:val="3"/>
        </w:numPr>
        <w:spacing w:before="0" w:after="120"/>
        <w:ind w:left="567" w:hanging="360"/>
        <w:rPr/>
      </w:pPr>
      <w:r>
        <w:rPr>
          <w:rFonts w:ascii="Calibri" w:hAnsi="Calibri"/>
          <w:sz w:val="22"/>
          <w:szCs w:val="22"/>
          <w:u w:val="single"/>
        </w:rPr>
        <w:t xml:space="preserve">Exámenes </w:t>
      </w:r>
    </w:p>
    <w:p>
      <w:pPr>
        <w:pStyle w:val="Estiloparrafos"/>
        <w:spacing w:before="0" w:after="120"/>
        <w:ind w:left="567" w:hanging="0"/>
        <w:rPr/>
      </w:pPr>
      <w:r>
        <w:rPr>
          <w:rFonts w:ascii="Calibri" w:hAnsi="Calibri"/>
          <w:sz w:val="22"/>
          <w:szCs w:val="22"/>
        </w:rPr>
        <w:t xml:space="preserve">Las pruebas podrán contener problemas, cuestiones de respuesta concreta, de verdadero-falso, de relacionar conceptos y de interpretación de datos. Se podrá incluir algún texto científico con preguntas sobre lo que han leído. </w:t>
      </w:r>
    </w:p>
    <w:p>
      <w:pPr>
        <w:pStyle w:val="Estiloparrafos"/>
        <w:spacing w:before="0" w:after="120"/>
        <w:ind w:left="567" w:hanging="0"/>
        <w:rPr/>
      </w:pPr>
      <w:r>
        <w:rPr>
          <w:rFonts w:ascii="Calibri" w:hAnsi="Calibri"/>
          <w:sz w:val="22"/>
          <w:szCs w:val="22"/>
        </w:rPr>
        <w:t xml:space="preserve">Está previsto realizar dos pruebas escritas por evaluación. </w:t>
      </w:r>
    </w:p>
    <w:p>
      <w:pPr>
        <w:pStyle w:val="Estiloparrafos"/>
        <w:spacing w:before="0" w:after="120"/>
        <w:ind w:left="567" w:hanging="0"/>
        <w:rPr>
          <w:rFonts w:ascii="Calibri" w:hAnsi="Calibri" w:eastAsia="Cambria" w:cs="Cambria"/>
          <w:bCs/>
          <w:color w:val="000000"/>
          <w:sz w:val="22"/>
          <w:szCs w:val="22"/>
        </w:rPr>
      </w:pPr>
      <w:r>
        <w:rPr>
          <w:rFonts w:eastAsia="Cambria" w:cs="Cambria" w:ascii="Calibri" w:hAnsi="Calibri"/>
          <w:bCs/>
          <w:color w:val="000000"/>
          <w:sz w:val="22"/>
          <w:szCs w:val="22"/>
        </w:rPr>
      </w:r>
    </w:p>
    <w:p>
      <w:pPr>
        <w:pStyle w:val="Normal"/>
        <w:jc w:val="both"/>
        <w:rPr/>
      </w:pPr>
      <w:r>
        <w:rPr>
          <w:rFonts w:eastAsia="Cambria" w:cs="Cambria"/>
          <w:b/>
          <w:sz w:val="22"/>
          <w:szCs w:val="22"/>
          <w:u w:val="single"/>
        </w:rPr>
        <w:t>4. CRITERIOS DE CALIFICACIÓN</w:t>
      </w:r>
    </w:p>
    <w:p>
      <w:pPr>
        <w:pStyle w:val="Normal"/>
        <w:rPr/>
      </w:pPr>
      <w:r>
        <w:rPr>
          <w:color w:val="auto"/>
          <w:sz w:val="22"/>
          <w:szCs w:val="22"/>
        </w:rPr>
        <w:t>Lo primero la materia se divide en cinco bloques, cada uno con el porcentaje de peso que tiene sobre la nota final</w:t>
      </w:r>
    </w:p>
    <w:p>
      <w:pPr>
        <w:pStyle w:val="Normal"/>
        <w:rPr/>
      </w:pPr>
      <w:r>
        <w:rPr>
          <w:color w:val="auto"/>
          <w:sz w:val="22"/>
          <w:szCs w:val="22"/>
        </w:rPr>
        <w:t>Campo Gravitatorio 25%, MVAS y Ondas 25%, Campo electromagnético 25%, Óptica 12,5 % y Física Moderna (engloba el resto de temas) 12,5 %.</w:t>
      </w:r>
    </w:p>
    <w:p>
      <w:pPr>
        <w:pStyle w:val="Normal"/>
        <w:rPr/>
      </w:pPr>
      <w:r>
        <w:rPr>
          <w:color w:val="auto"/>
          <w:sz w:val="22"/>
          <w:szCs w:val="22"/>
        </w:rPr>
        <w:t>1. Teniendo en cuenta los procedimientos e instrumentos de evaluación indicados en la programación, se indican a continuación los criterios de calificación que se van a utilizar para este curso para obtener la calificación final de cada evaluación:</w:t>
      </w:r>
    </w:p>
    <w:p>
      <w:pPr>
        <w:pStyle w:val="Normal"/>
        <w:rPr/>
      </w:pPr>
      <w:r>
        <w:rPr>
          <w:color w:val="auto"/>
          <w:sz w:val="22"/>
          <w:szCs w:val="22"/>
        </w:rPr>
        <w:t xml:space="preserve">a) El 95% de la nota será la nota del examen de cada bloque. Las competencias evaluadas en esta parte se adjuntan en el cuadro. </w:t>
      </w:r>
    </w:p>
    <w:p>
      <w:pPr>
        <w:pStyle w:val="Normal"/>
        <w:rPr/>
      </w:pPr>
      <w:r>
        <w:rPr>
          <w:color w:val="auto"/>
          <w:sz w:val="22"/>
          <w:szCs w:val="22"/>
        </w:rPr>
        <w:t xml:space="preserve">b) El profesor supervisará el trabajo diario, a partir de las tareas que se encarguen al alumno (incluyendo tanto los ejercicios propuestos en clase, como las tareas para casa o las prácticas de  laboratorio). La valoración de este apartado supondrá un 5 % de la nota final. El porcentaje de cada una de las partes, variará en función del número de prácticas que se hayan podido realizar. Las competencias evaluadas en esta parte se adjuntan en el cuadro. </w:t>
      </w:r>
    </w:p>
    <w:p>
      <w:pPr>
        <w:pStyle w:val="Cuerpodetexto"/>
        <w:bidi w:val="0"/>
        <w:spacing w:lineRule="auto" w:line="288" w:before="0" w:after="0"/>
        <w:rPr/>
      </w:pPr>
      <w:r>
        <w:rPr>
          <w:rFonts w:ascii="Calibri;sans-serif" w:hAnsi="Calibri;sans-serif"/>
          <w:b w:val="false"/>
          <w:i w:val="false"/>
          <w:caps w:val="false"/>
          <w:smallCaps w:val="false"/>
          <w:strike w:val="false"/>
          <w:dstrike w:val="false"/>
          <w:color w:val="auto"/>
          <w:sz w:val="22"/>
          <w:u w:val="none"/>
          <w:effect w:val="none"/>
        </w:rPr>
        <w:t>Los exámenes se diseñan  de tal forma que el 9</w:t>
      </w:r>
      <w:r>
        <w:rPr>
          <w:rFonts w:ascii="Calibri;sans-serif" w:hAnsi="Calibri;sans-serif"/>
          <w:b w:val="false"/>
          <w:i w:val="false"/>
          <w:caps w:val="false"/>
          <w:smallCaps w:val="false"/>
          <w:strike w:val="false"/>
          <w:dstrike w:val="false"/>
          <w:color w:val="auto"/>
          <w:sz w:val="22"/>
          <w:u w:val="none"/>
          <w:effect w:val="none"/>
        </w:rPr>
        <w:t>5</w:t>
      </w:r>
      <w:r>
        <w:rPr>
          <w:rFonts w:ascii="Calibri;sans-serif" w:hAnsi="Calibri;sans-serif"/>
          <w:b w:val="false"/>
          <w:i w:val="false"/>
          <w:caps w:val="false"/>
          <w:smallCaps w:val="false"/>
          <w:strike w:val="false"/>
          <w:dstrike w:val="false"/>
          <w:color w:val="auto"/>
          <w:sz w:val="22"/>
          <w:u w:val="none"/>
          <w:effect w:val="none"/>
        </w:rPr>
        <w:t>% se reparta entre las competencias específicas 1, 2 y 3.1,  3.2  y 3.3 como se indica en este cuadro</w:t>
      </w:r>
    </w:p>
    <w:p>
      <w:pPr>
        <w:pStyle w:val="Cuerpodetexto"/>
        <w:rPr/>
      </w:pPr>
      <w:r>
        <w:rPr/>
      </w:r>
    </w:p>
    <w:p>
      <w:pPr>
        <w:pStyle w:val="Cuerpodetexto"/>
        <w:bidi w:val="0"/>
        <w:spacing w:lineRule="auto" w:line="288" w:before="0" w:after="0"/>
        <w:rPr/>
      </w:pPr>
      <w:r>
        <w:rPr>
          <w:caps w:val="false"/>
          <w:smallCaps w:val="false"/>
          <w:strike w:val="false"/>
          <w:dstrike w:val="false"/>
          <w:color w:val="EE0000"/>
          <w:u w:val="none"/>
          <w:effect w:val="none"/>
        </w:rPr>
        <w:t> </w:t>
      </w:r>
      <w:r>
        <w:rPr>
          <w:rFonts w:ascii="Calibri;sans-serif" w:hAnsi="Calibri;sans-serif"/>
          <w:b w:val="false"/>
          <w:i w:val="false"/>
          <w:caps w:val="false"/>
          <w:smallCaps w:val="false"/>
          <w:strike w:val="false"/>
          <w:dstrike w:val="false"/>
          <w:color w:val="auto"/>
          <w:sz w:val="22"/>
          <w:u w:val="none"/>
          <w:effect w:val="none"/>
        </w:rPr>
        <w:t xml:space="preserve">Las actividades que suponen el 10% estarán diseñadas para cumplir el reparto entre las competencias 3.3, 4, 5 y 6 como se indica en este cuadro. </w:t>
      </w:r>
      <w:r>
        <w:rPr>
          <w:rFonts w:ascii="Calibri;sans-serif" w:hAnsi="Calibri;sans-serif"/>
          <w:b w:val="false"/>
          <w:i w:val="false"/>
          <w:caps w:val="false"/>
          <w:smallCaps w:val="false"/>
          <w:strike w:val="false"/>
          <w:dstrike w:val="false"/>
          <w:color w:val="EE0000"/>
          <w:sz w:val="22"/>
          <w:u w:val="none"/>
          <w:effect w:val="none"/>
        </w:rPr>
        <w:t>. </w:t>
      </w:r>
    </w:p>
    <w:p>
      <w:pPr>
        <w:pStyle w:val="Normal"/>
        <w:rPr/>
      </w:pPr>
      <w:r>
        <w:rPr>
          <w:color w:val="auto"/>
          <w:sz w:val="22"/>
          <w:szCs w:val="22"/>
        </w:rPr>
        <w:t xml:space="preserve"> </w:t>
      </w:r>
    </w:p>
    <w:tbl>
      <w:tblPr>
        <w:tblW w:w="8475" w:type="dxa"/>
        <w:jc w:val="left"/>
        <w:tblInd w:w="24" w:type="dxa"/>
        <w:tblCellMar>
          <w:top w:w="100" w:type="dxa"/>
          <w:left w:w="100" w:type="dxa"/>
          <w:bottom w:w="100" w:type="dxa"/>
          <w:right w:w="100" w:type="dxa"/>
        </w:tblCellMar>
      </w:tblPr>
      <w:tblGrid>
        <w:gridCol w:w="1934"/>
        <w:gridCol w:w="750"/>
        <w:gridCol w:w="2475"/>
        <w:gridCol w:w="3315"/>
      </w:tblGrid>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COMPETENCIAS ESPECÍFICAS</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rPr/>
            </w:pPr>
            <w:r>
              <w:rPr>
                <w:rFonts w:ascii="Calibri;sans-serif" w:hAnsi="Calibri;sans-serif"/>
                <w:b/>
                <w:i w:val="false"/>
                <w:caps w:val="false"/>
                <w:smallCaps w:val="false"/>
                <w:strike w:val="false"/>
                <w:dstrike w:val="false"/>
                <w:color w:val="000000"/>
                <w:sz w:val="22"/>
                <w:u w:val="none"/>
                <w:effect w:val="none"/>
              </w:rPr>
              <w:t>CRITERIOS DE EVALUACIÓN</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INSTRUMENTOS DE EVALUACIÓN</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1.</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36%</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1.1</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1.3 </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FQ.2</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32%</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2.3.</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FQ.3.</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29%</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3.1., 3.2 y3.3.  27% </w:t>
            </w:r>
          </w:p>
          <w:p>
            <w:pPr>
              <w:pStyle w:val="Contenidodelatabla"/>
              <w:bidi w:val="0"/>
              <w:spacing w:lineRule="auto" w:line="288" w:before="0" w:after="0"/>
              <w:rPr/>
            </w:pPr>
            <w:r>
              <w:rPr>
                <w:rFonts w:ascii="Calibri;sans-serif" w:hAnsi="Calibri;sans-serif"/>
                <w:b w:val="false"/>
                <w:i w:val="false"/>
                <w:caps w:val="false"/>
                <w:smallCaps w:val="false"/>
                <w:strike w:val="false"/>
                <w:dstrike w:val="false"/>
                <w:color w:val="000000"/>
                <w:sz w:val="22"/>
                <w:u w:val="none"/>
                <w:effect w:val="none"/>
              </w:rPr>
              <w:t>3.3                2%</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 3.1 y 3.2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EJERCICIOS DE CLASE, Y CASA 3.3 </w:t>
            </w:r>
          </w:p>
          <w:p>
            <w:pPr>
              <w:pStyle w:val="Contenidodelatabla"/>
              <w:bidi w:val="0"/>
              <w:spacing w:lineRule="auto" w:line="288" w:before="0" w:after="0"/>
              <w:jc w:val="both"/>
              <w:rPr/>
            </w:pPr>
            <w:r>
              <w:rPr>
                <w:caps w:val="false"/>
                <w:smallCaps w:val="false"/>
                <w:strike w:val="false"/>
                <w:dstrike w:val="false"/>
                <w:color w:val="000000"/>
                <w:u w:val="none"/>
                <w:effect w:val="none"/>
              </w:rPr>
              <w:t> </w:t>
            </w:r>
            <w:r>
              <w:rPr>
                <w:rFonts w:ascii="Calibri;sans-serif" w:hAnsi="Calibri;sans-serif"/>
                <w:b w:val="false"/>
                <w:i w:val="false"/>
                <w:caps w:val="false"/>
                <w:smallCaps w:val="false"/>
                <w:strike w:val="false"/>
                <w:dstrike w:val="false"/>
                <w:color w:val="000000"/>
                <w:sz w:val="22"/>
                <w:u w:val="none"/>
                <w:effect w:val="none"/>
              </w:rPr>
              <w:t>INFORMES DE LABORATORIO 3.3 </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FQ.4.</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1 %</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4.2 </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ACTIVIDADES DE MANEJO DE LA INFORMACIÓN</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5</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1 %</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5.2</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 </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FQ.6.</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1 %</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6.2</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 </w:t>
            </w:r>
          </w:p>
        </w:tc>
      </w:tr>
    </w:tbl>
    <w:p>
      <w:pPr>
        <w:pStyle w:val="Normal"/>
        <w:rPr/>
      </w:pPr>
      <w:r>
        <w:rPr>
          <w:color w:val="auto"/>
          <w:sz w:val="22"/>
          <w:szCs w:val="22"/>
        </w:rPr>
        <w:t>2. Para tener la materia superada hay que tener todos los bloques superados.</w:t>
      </w:r>
    </w:p>
    <w:p>
      <w:pPr>
        <w:pStyle w:val="Normal"/>
        <w:rPr/>
      </w:pPr>
      <w:r>
        <w:rPr>
          <w:color w:val="auto"/>
          <w:sz w:val="22"/>
          <w:szCs w:val="22"/>
        </w:rPr>
        <w:t>Aquellos alumnos que no alcancen la calificación de 5 en un bloque, tendrán la posibilidad de recuperarlo por medio de una prueba escrita. .</w:t>
      </w:r>
    </w:p>
    <w:p>
      <w:pPr>
        <w:pStyle w:val="Normal"/>
        <w:rPr/>
      </w:pPr>
      <w:r>
        <w:rPr>
          <w:color w:val="auto"/>
          <w:sz w:val="22"/>
          <w:szCs w:val="22"/>
        </w:rPr>
        <w:t>Además, aquellos alumnos con el bloque aprobada, también deben realizar</w:t>
      </w:r>
    </w:p>
    <w:p>
      <w:pPr>
        <w:pStyle w:val="Normal"/>
        <w:rPr/>
      </w:pPr>
      <w:r>
        <w:rPr>
          <w:color w:val="auto"/>
          <w:sz w:val="22"/>
          <w:szCs w:val="22"/>
        </w:rPr>
        <w:t>dicha recuperación.</w:t>
      </w:r>
    </w:p>
    <w:p>
      <w:pPr>
        <w:pStyle w:val="Normal"/>
        <w:numPr>
          <w:ilvl w:val="0"/>
          <w:numId w:val="2"/>
        </w:numPr>
        <w:rPr/>
      </w:pPr>
      <w:r>
        <w:rPr>
          <w:color w:val="auto"/>
          <w:sz w:val="22"/>
          <w:szCs w:val="22"/>
        </w:rPr>
        <w:t xml:space="preserve"> </w:t>
      </w:r>
      <w:r>
        <w:rPr>
          <w:color w:val="auto"/>
          <w:sz w:val="22"/>
          <w:szCs w:val="22"/>
        </w:rPr>
        <w:t>Si su nota es superior a la obtenida se les sube la nota</w:t>
      </w:r>
    </w:p>
    <w:p>
      <w:pPr>
        <w:pStyle w:val="Normal"/>
        <w:numPr>
          <w:ilvl w:val="0"/>
          <w:numId w:val="2"/>
        </w:numPr>
        <w:rPr/>
      </w:pPr>
      <w:r>
        <w:rPr>
          <w:color w:val="auto"/>
          <w:sz w:val="22"/>
          <w:szCs w:val="22"/>
        </w:rPr>
        <w:t xml:space="preserve"> </w:t>
      </w:r>
      <w:r>
        <w:rPr>
          <w:color w:val="auto"/>
          <w:sz w:val="22"/>
          <w:szCs w:val="22"/>
        </w:rPr>
        <w:t>Si su nota es inferior en menos de 2 puntos se les deja la nota que tenían</w:t>
      </w:r>
    </w:p>
    <w:p>
      <w:pPr>
        <w:pStyle w:val="Normal"/>
        <w:numPr>
          <w:ilvl w:val="0"/>
          <w:numId w:val="2"/>
        </w:numPr>
        <w:rPr/>
      </w:pPr>
      <w:r>
        <w:rPr>
          <w:color w:val="auto"/>
          <w:sz w:val="22"/>
          <w:szCs w:val="22"/>
        </w:rPr>
        <w:t xml:space="preserve"> </w:t>
      </w:r>
      <w:r>
        <w:rPr>
          <w:color w:val="auto"/>
          <w:sz w:val="22"/>
          <w:szCs w:val="22"/>
        </w:rPr>
        <w:t>Si su nota es inferior a dos puntos se les baja la nota realizando la media entre las dos calificaciones (siempre y cuando esa media de más de cinco sino se pondría un cinco)</w:t>
      </w:r>
    </w:p>
    <w:p>
      <w:pPr>
        <w:pStyle w:val="Normal"/>
        <w:ind w:hanging="0"/>
        <w:rPr/>
      </w:pPr>
      <w:r>
        <w:rPr>
          <w:color w:val="auto"/>
          <w:sz w:val="22"/>
          <w:szCs w:val="22"/>
        </w:rPr>
        <w:t xml:space="preserve">Para la nota de cada evaluación se hace una media ponderada con la nota de los bloques siempre que se tengan aptos. Si se tiene algún bloque suspenso la nota máxima sera un 4 </w:t>
      </w:r>
    </w:p>
    <w:p>
      <w:pPr>
        <w:pStyle w:val="Normal"/>
        <w:rPr/>
      </w:pPr>
      <w:r>
        <w:rPr>
          <w:color w:val="auto"/>
          <w:sz w:val="22"/>
          <w:szCs w:val="22"/>
        </w:rPr>
        <w:t>3. Para obtener la nota final de la materia en la evaluación ordinaria siempre que se tengan todos los bloques aptos, se calificara cada bloque de la materia de la siguiente forma:</w:t>
      </w:r>
    </w:p>
    <w:p>
      <w:pPr>
        <w:pStyle w:val="Normal"/>
        <w:rPr/>
      </w:pPr>
      <w:r>
        <w:rPr>
          <w:color w:val="auto"/>
          <w:sz w:val="22"/>
          <w:szCs w:val="22"/>
        </w:rPr>
        <w:t>Campo Gravitatorio 25%, MVAS y Ondas 25%, Campo electromagnético 25%, Óptica 12,5 % y Física Moderna (engloba el resto de temas) 12,5 %.</w:t>
      </w:r>
    </w:p>
    <w:p>
      <w:pPr>
        <w:pStyle w:val="Normal"/>
        <w:rPr/>
      </w:pPr>
      <w:r>
        <w:rPr>
          <w:color w:val="auto"/>
          <w:sz w:val="22"/>
          <w:szCs w:val="22"/>
        </w:rPr>
        <w:t>4. En los últimos días de curso, se realizará una recuperación final previa a la evaluación final ordinaria. Los alumnos que tengan algún bloque suspendido y que no puedan obtener una calificación final de aprobado según el punto anterior, podrán examinarse sólo del bloque o bloques que tengan suspendidos.</w:t>
      </w:r>
    </w:p>
    <w:p>
      <w:pPr>
        <w:pStyle w:val="Normal"/>
        <w:rPr/>
      </w:pPr>
      <w:r>
        <w:rPr>
          <w:color w:val="auto"/>
          <w:sz w:val="22"/>
          <w:szCs w:val="22"/>
        </w:rPr>
        <w:t xml:space="preserve">5. </w:t>
      </w:r>
      <w:r>
        <w:rPr>
          <w:b/>
          <w:bCs/>
          <w:color w:val="auto"/>
          <w:sz w:val="22"/>
          <w:szCs w:val="22"/>
        </w:rPr>
        <w:t xml:space="preserve">Prueba extraordinaria: </w:t>
      </w:r>
      <w:r>
        <w:rPr>
          <w:color w:val="auto"/>
          <w:sz w:val="22"/>
          <w:szCs w:val="22"/>
        </w:rPr>
        <w:t>Aquellos alumnos que obtengan una calificación menor de 5 en la evaluación final ordinaria, podrán recuperar la materia presentándose a la prueba extraordinaria..</w:t>
      </w:r>
    </w:p>
    <w:p>
      <w:pPr>
        <w:pStyle w:val="Normal"/>
        <w:rPr/>
      </w:pPr>
      <w:r>
        <w:rPr>
          <w:color w:val="auto"/>
          <w:sz w:val="22"/>
          <w:szCs w:val="22"/>
        </w:rPr>
        <w:t>La prueba extraordinaria versará sobre todos los saberes del curso que se hayan desarrollado durante el curso  establecidos en la presente programación según las disposiciones vigentes.</w:t>
      </w:r>
    </w:p>
    <w:p>
      <w:pPr>
        <w:pStyle w:val="Normal"/>
        <w:rPr/>
      </w:pPr>
      <w:bookmarkStart w:id="17" w:name="__DdeLink__5003_1565013655"/>
      <w:r>
        <w:rPr>
          <w:color w:val="auto"/>
          <w:sz w:val="22"/>
          <w:szCs w:val="22"/>
        </w:rPr>
        <w:t xml:space="preserve">Esta prueba extraordinaria se considerará superada cuando se haya obtenido una </w:t>
      </w:r>
      <w:r>
        <w:rPr>
          <w:rFonts w:eastAsia="Cambria" w:cs="Cambria"/>
          <w:color w:val="auto"/>
          <w:sz w:val="22"/>
          <w:szCs w:val="22"/>
        </w:rPr>
        <w:t>calificación igual o superior a cinco. La nota final de la materia sera la nota de esta prueba</w:t>
      </w:r>
      <w:bookmarkEnd w:id="17"/>
      <w:r>
        <w:rPr>
          <w:rFonts w:eastAsia="Cambria" w:cs="Cambria"/>
          <w:color w:val="auto"/>
          <w:sz w:val="22"/>
          <w:szCs w:val="22"/>
        </w:rPr>
        <w:t xml:space="preserve"> </w:t>
      </w:r>
    </w:p>
    <w:p>
      <w:pPr>
        <w:pStyle w:val="Normal"/>
        <w:jc w:val="both"/>
        <w:rPr/>
      </w:pPr>
      <w:r>
        <w:rPr>
          <w:rFonts w:eastAsia="Cambria" w:cs="Cambria"/>
          <w:b/>
          <w:sz w:val="22"/>
          <w:szCs w:val="22"/>
          <w:u w:val="single"/>
        </w:rPr>
        <w:t>5. EVALUACIÓN INICIAL</w:t>
      </w:r>
    </w:p>
    <w:p>
      <w:pPr>
        <w:pStyle w:val="Estiloparrafos"/>
        <w:spacing w:before="0" w:after="120"/>
        <w:rPr/>
      </w:pPr>
      <w:r>
        <w:rPr>
          <w:rFonts w:ascii="Calibri" w:hAnsi="Calibri"/>
          <w:color w:val="232020"/>
          <w:sz w:val="22"/>
          <w:szCs w:val="22"/>
        </w:rPr>
        <w:t xml:space="preserve">Al comienzo de cada curso, en el marco de la evaluación continua y formativa, y para detectar el grado de conocimiento del que parten los estudiantes en cada materia y realizar la correspondiente planificación, se realizará la evaluación inicial de los alumnos. Para ello se tendrá en cuenta, siempre que sea posible, la información aportada por el profesorado del curso anterior. Además, todos los alumnos realizarán una prueba escrita, diseñada para ser cumplimentada en una sesión lectiva, que incluya los contenidos más importantes del curso anterior que van a tener continuidad en el presente curso. </w:t>
      </w:r>
    </w:p>
    <w:p>
      <w:pPr>
        <w:pStyle w:val="Estiloparrafos"/>
        <w:spacing w:before="0" w:after="120"/>
        <w:rPr/>
      </w:pPr>
      <w:r>
        <w:rPr>
          <w:rFonts w:ascii="Calibri" w:hAnsi="Calibri"/>
          <w:color w:val="232020"/>
          <w:sz w:val="22"/>
          <w:szCs w:val="22"/>
        </w:rPr>
        <w:t xml:space="preserve">Esta prueba nunca se computará a efectos de calificación durante el curso.  El objetivo de la misma consiste en detectar posibles concepciones alternativas o la carencia de conocimientos básicos cuya ampliación y/o desarrollo se va a llevar a cabo en el presente curso escolar. En el caso de que se detecten dichos errores y / o carencias se repasarán dichos contenidos al inicio de cada unidad didáctica antes de profundizar en los mismos. </w:t>
      </w:r>
    </w:p>
    <w:p>
      <w:pPr>
        <w:pStyle w:val="Estiloparrafos"/>
        <w:spacing w:before="0" w:after="120"/>
        <w:rPr>
          <w:rFonts w:ascii="Arial" w:hAnsi="Arial"/>
          <w:color w:val="232020"/>
          <w:sz w:val="20"/>
          <w:szCs w:val="20"/>
        </w:rPr>
      </w:pPr>
      <w:r>
        <w:rPr>
          <w:rFonts w:ascii="Arial" w:hAnsi="Arial"/>
          <w:color w:val="232020"/>
          <w:sz w:val="20"/>
          <w:szCs w:val="20"/>
        </w:rPr>
      </w:r>
    </w:p>
    <w:p>
      <w:pPr>
        <w:pStyle w:val="Estiloparrafos"/>
        <w:spacing w:before="0" w:after="120"/>
        <w:rPr>
          <w:rFonts w:ascii="Arial" w:hAnsi="Arial"/>
          <w:color w:val="232020"/>
          <w:sz w:val="20"/>
          <w:szCs w:val="20"/>
        </w:rPr>
      </w:pPr>
      <w:r>
        <w:rPr>
          <w:rFonts w:ascii="Arial" w:hAnsi="Arial"/>
          <w:color w:val="232020"/>
          <w:sz w:val="20"/>
          <w:szCs w:val="20"/>
        </w:rPr>
      </w:r>
    </w:p>
    <w:p>
      <w:pPr>
        <w:pStyle w:val="Estiloparrafos"/>
        <w:spacing w:before="0" w:after="120"/>
        <w:rPr>
          <w:rFonts w:ascii="Arial" w:hAnsi="Arial"/>
          <w:color w:val="232020"/>
          <w:sz w:val="20"/>
          <w:szCs w:val="20"/>
        </w:rPr>
      </w:pPr>
      <w:r>
        <w:rPr>
          <w:rFonts w:ascii="Arial" w:hAnsi="Arial"/>
          <w:color w:val="232020"/>
          <w:sz w:val="20"/>
          <w:szCs w:val="20"/>
        </w:rPr>
      </w:r>
    </w:p>
    <w:p>
      <w:pPr>
        <w:pStyle w:val="Estiloparrafos"/>
        <w:spacing w:before="0" w:after="120"/>
        <w:rPr>
          <w:rFonts w:ascii="Arial" w:hAnsi="Arial"/>
          <w:color w:val="232020"/>
          <w:sz w:val="20"/>
          <w:szCs w:val="20"/>
        </w:rPr>
      </w:pPr>
      <w:r>
        <w:rPr>
          <w:rFonts w:ascii="Arial" w:hAnsi="Arial"/>
          <w:color w:val="232020"/>
          <w:sz w:val="20"/>
          <w:szCs w:val="20"/>
        </w:rPr>
      </w:r>
    </w:p>
    <w:p>
      <w:pPr>
        <w:pStyle w:val="Normal"/>
        <w:spacing w:before="0" w:after="120"/>
        <w:jc w:val="both"/>
        <w:rPr/>
      </w:pPr>
      <w:r>
        <w:rPr>
          <w:rFonts w:eastAsia="Cambria" w:cs="Cambria"/>
          <w:b/>
          <w:color w:val="232020"/>
          <w:sz w:val="22"/>
          <w:szCs w:val="22"/>
          <w:u w:val="single"/>
        </w:rPr>
        <w:t>6. EVALUACIÓN EXTRAORDINARIA</w:t>
      </w:r>
    </w:p>
    <w:p>
      <w:pPr>
        <w:pStyle w:val="Normal"/>
        <w:rPr/>
      </w:pPr>
      <w:r>
        <w:rPr>
          <w:color w:val="auto"/>
          <w:sz w:val="22"/>
          <w:szCs w:val="22"/>
        </w:rPr>
        <w:t>Aquellos alumnos que obtengan una calificación menor de 5 en la evaluación final ordinaria, podrán recuperar la materia presentándose a la prueba extraordinaria..</w:t>
      </w:r>
    </w:p>
    <w:p>
      <w:pPr>
        <w:pStyle w:val="Normal"/>
        <w:rPr/>
      </w:pPr>
      <w:r>
        <w:rPr>
          <w:color w:val="auto"/>
          <w:sz w:val="22"/>
          <w:szCs w:val="22"/>
        </w:rPr>
        <w:t>La prueba extraordinaria versará sobre todos los saberes del curso que se hayan desarrollado durante el curso  establecidos en la presente programación según las disposiciones vigentes.</w:t>
      </w:r>
    </w:p>
    <w:p>
      <w:pPr>
        <w:pStyle w:val="Normal"/>
        <w:spacing w:before="0" w:after="120"/>
        <w:jc w:val="both"/>
        <w:rPr/>
      </w:pPr>
      <w:bookmarkStart w:id="18" w:name="__DdeLink__5003_15650136551"/>
      <w:r>
        <w:rPr>
          <w:rFonts w:eastAsia="Cambria" w:cs="Cambria"/>
          <w:b w:val="false"/>
          <w:bCs w:val="false"/>
          <w:color w:val="auto"/>
          <w:sz w:val="22"/>
          <w:szCs w:val="22"/>
          <w:u w:val="none"/>
        </w:rPr>
        <w:t>Esta prueba extraordinaria se considerará superada cuando se haya obtenido una calificación igual o superior a cinco. La nota final de la materia sera la nota de esta prueba</w:t>
      </w:r>
      <w:bookmarkEnd w:id="18"/>
      <w:r>
        <w:rPr>
          <w:rFonts w:eastAsia="Cambria" w:cs="Cambria"/>
          <w:b w:val="false"/>
          <w:bCs w:val="false"/>
          <w:color w:val="auto"/>
          <w:sz w:val="22"/>
          <w:szCs w:val="22"/>
          <w:u w:val="none"/>
        </w:rPr>
        <w:t xml:space="preserve"> </w:t>
      </w:r>
    </w:p>
    <w:p>
      <w:pPr>
        <w:pStyle w:val="Estiloparrafos"/>
        <w:rPr>
          <w:rFonts w:ascii="Calibri" w:hAnsi="Calibri" w:eastAsia="Cambria" w:cs="Cambria"/>
          <w:sz w:val="22"/>
          <w:szCs w:val="22"/>
        </w:rPr>
      </w:pPr>
      <w:r>
        <w:rPr>
          <w:rFonts w:eastAsia="Cambria" w:cs="Cambria" w:ascii="Calibri" w:hAnsi="Calibri"/>
          <w:sz w:val="22"/>
          <w:szCs w:val="22"/>
        </w:rPr>
      </w:r>
    </w:p>
    <w:p>
      <w:pPr>
        <w:pStyle w:val="Normal"/>
        <w:jc w:val="both"/>
        <w:rPr/>
      </w:pPr>
      <w:r>
        <w:rPr>
          <w:rFonts w:eastAsia="Cambria" w:cs="Cambria"/>
          <w:b/>
          <w:sz w:val="22"/>
          <w:szCs w:val="22"/>
          <w:u w:val="single"/>
        </w:rPr>
        <w:t xml:space="preserve">7. ACTUACIONES GENERALES DE ATENCIÓN A LAS DIFERENCIAS INDIVIDUALES Y ADAPTACIONES CURRICULARES </w:t>
      </w:r>
    </w:p>
    <w:p>
      <w:pPr>
        <w:pStyle w:val="Normal"/>
        <w:jc w:val="both"/>
        <w:rPr/>
      </w:pPr>
      <w:r>
        <w:rPr>
          <w:rFonts w:eastAsia="Cambria" w:cs="Cambria"/>
          <w:sz w:val="22"/>
          <w:szCs w:val="22"/>
        </w:rPr>
        <w:t xml:space="preserve">No tenemos ningún alumnos que precise adaptación curricular </w:t>
      </w:r>
    </w:p>
    <w:p>
      <w:pPr>
        <w:pStyle w:val="Normal"/>
        <w:jc w:val="both"/>
        <w:rPr/>
      </w:pPr>
      <w:r>
        <w:rPr>
          <w:rFonts w:eastAsia="Cambria" w:cs="Cambria"/>
          <w:b/>
          <w:sz w:val="22"/>
          <w:szCs w:val="22"/>
          <w:u w:val="single"/>
        </w:rPr>
        <w:t>8. PLAN DE SEGUIMIENTO PARA EL ALUMNADO QUE NO HA PROMOCIONADO</w:t>
      </w:r>
    </w:p>
    <w:p>
      <w:pPr>
        <w:pStyle w:val="Normal"/>
        <w:jc w:val="both"/>
        <w:rPr/>
      </w:pPr>
      <w:r>
        <w:rPr>
          <w:rFonts w:eastAsia="Cambria" w:cs="Cambria"/>
          <w:sz w:val="22"/>
          <w:szCs w:val="22"/>
        </w:rPr>
        <w:t xml:space="preserve">No hay ningún alumno </w:t>
      </w:r>
    </w:p>
    <w:p>
      <w:pPr>
        <w:pStyle w:val="Normal"/>
        <w:keepNext w:val="true"/>
        <w:jc w:val="both"/>
        <w:rPr/>
      </w:pPr>
      <w:r>
        <w:rPr>
          <w:rFonts w:eastAsia="Cambria" w:cs="Cambria"/>
          <w:b/>
          <w:sz w:val="22"/>
          <w:szCs w:val="22"/>
          <w:u w:val="single"/>
        </w:rPr>
        <w:t>9 PLAN DE REFUERZO PARA MATERIAS O ÁMBITOS NO SUPERADOS</w:t>
      </w:r>
    </w:p>
    <w:p>
      <w:pPr>
        <w:pStyle w:val="Normal"/>
        <w:jc w:val="both"/>
        <w:rPr/>
      </w:pPr>
      <w:r>
        <w:rPr>
          <w:rFonts w:eastAsia="Cambria" w:cs="Cambria"/>
          <w:sz w:val="22"/>
          <w:szCs w:val="22"/>
        </w:rPr>
        <w:t xml:space="preserve">En los primeros días o últimos del curso anterior  se hace una reunión para evaluar las causas de la no superación de la materia por parte del alumno con los profesores del curso anterior. </w:t>
      </w:r>
    </w:p>
    <w:p>
      <w:pPr>
        <w:pStyle w:val="Normal"/>
        <w:jc w:val="both"/>
        <w:rPr/>
      </w:pPr>
      <w:r>
        <w:rPr>
          <w:rFonts w:eastAsia="Cambria" w:cs="Cambria"/>
          <w:sz w:val="22"/>
          <w:szCs w:val="22"/>
        </w:rPr>
        <w:t xml:space="preserve">Con los alumnos se tiene una reunión a principio de curso, para comunicarles: </w:t>
      </w:r>
    </w:p>
    <w:p>
      <w:pPr>
        <w:pStyle w:val="Normal"/>
        <w:numPr>
          <w:ilvl w:val="0"/>
          <w:numId w:val="4"/>
        </w:numPr>
        <w:jc w:val="both"/>
        <w:rPr/>
      </w:pPr>
      <w:r>
        <w:rPr>
          <w:rFonts w:eastAsia="Cambria" w:cs="Cambria"/>
          <w:sz w:val="22"/>
          <w:szCs w:val="22"/>
        </w:rPr>
        <w:t xml:space="preserve">Las pautas para estudiar la materia </w:t>
      </w:r>
    </w:p>
    <w:p>
      <w:pPr>
        <w:pStyle w:val="Normal"/>
        <w:numPr>
          <w:ilvl w:val="0"/>
          <w:numId w:val="4"/>
        </w:numPr>
        <w:jc w:val="both"/>
        <w:rPr/>
      </w:pPr>
      <w:r>
        <w:rPr>
          <w:rFonts w:eastAsia="Cambria" w:cs="Cambria"/>
          <w:sz w:val="22"/>
          <w:szCs w:val="22"/>
        </w:rPr>
        <w:t>Horario del profesor para poder atenderles</w:t>
      </w:r>
    </w:p>
    <w:p>
      <w:pPr>
        <w:pStyle w:val="Normal"/>
        <w:numPr>
          <w:ilvl w:val="0"/>
          <w:numId w:val="4"/>
        </w:numPr>
        <w:jc w:val="both"/>
        <w:rPr/>
      </w:pPr>
      <w:r>
        <w:rPr>
          <w:rFonts w:eastAsia="Cambria" w:cs="Cambria"/>
          <w:sz w:val="22"/>
          <w:szCs w:val="22"/>
        </w:rPr>
        <w:t>División de la materia de primero en dos, Química por un lado y Física por otro.</w:t>
      </w:r>
    </w:p>
    <w:p>
      <w:pPr>
        <w:pStyle w:val="Normal"/>
        <w:numPr>
          <w:ilvl w:val="0"/>
          <w:numId w:val="4"/>
        </w:numPr>
        <w:jc w:val="both"/>
        <w:rPr/>
      </w:pPr>
      <w:bookmarkStart w:id="19" w:name="__DdeLink__1079_1761028890"/>
      <w:r>
        <w:rPr>
          <w:rFonts w:eastAsia="Cambria" w:cs="Cambria"/>
          <w:sz w:val="22"/>
          <w:szCs w:val="22"/>
        </w:rPr>
        <w:t xml:space="preserve">Realización de dos exámenes, uno de Diciembre y otro a principios de marzo. Si estos exámenes no dan la media para superar la materia ( tendrán que tener mas de un 3,5 para poder mediar)   tendrán uno global en Abril, que se superara con una nota de 5 o más. </w:t>
      </w:r>
      <w:bookmarkEnd w:id="19"/>
    </w:p>
    <w:p>
      <w:pPr>
        <w:pStyle w:val="Normal"/>
        <w:jc w:val="both"/>
        <w:rPr/>
      </w:pPr>
      <w:r>
        <w:rPr>
          <w:rFonts w:eastAsia="Cambria" w:cs="Cambria"/>
          <w:b/>
          <w:sz w:val="22"/>
          <w:szCs w:val="22"/>
          <w:u w:val="single"/>
        </w:rPr>
        <w:t>10. ESTRATEGIAS DIDÁCTICAS Y METODOLÓGICAS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Las normas y la convivencia en el aula.</w:t>
      </w:r>
    </w:p>
    <w:p>
      <w:pPr>
        <w:pStyle w:val="Normal"/>
        <w:jc w:val="both"/>
        <w:rPr/>
      </w:pPr>
      <w:r>
        <w:rPr>
          <w:rFonts w:cs="Arial"/>
          <w:sz w:val="22"/>
          <w:szCs w:val="22"/>
        </w:rPr>
        <w:t>Para que el trabajo en el aula favorezca el aprendizaje indispensable un ambiente que lo propicie y facilite, se consensuarán en los primeros días unas normas de convivencia. La no imposición y el consenso tienen como objetivo que cada alumno haga suyas esas normas y se sienta partícipe de la vida de la clase y co-responsable del buen funcionamiento de la misma. Se velará durante todo el curso por el mantenimiento de un clima de armonía, respeto, cooperación y convivencia entre todos los miembros del grupo. Un lugar donde los alumnos se encuentren libres y puedan expresarse es un vehículo imprescindible para un buen aprendizaje.</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El aula como comunidad de aprendizaje.</w:t>
      </w:r>
    </w:p>
    <w:p>
      <w:pPr>
        <w:pStyle w:val="Normal"/>
        <w:jc w:val="both"/>
        <w:rPr/>
      </w:pPr>
      <w:r>
        <w:rPr>
          <w:rFonts w:cs="Arial"/>
          <w:sz w:val="22"/>
          <w:szCs w:val="22"/>
        </w:rPr>
        <w:t xml:space="preserve">El grupo se enriquece con las aportaciones individuales de cada uno de sus miembros, por lo que todos ellos tendrán cabida en el aula, favoreciendo la interiorización de los aprendizajes mediante su conexión con la experiencia vital cotidiana. Se propiciarán entre los alumnos actitudes como la ayuda, el apoyo, la escucha o la inclusión. Todos aprendemos de todos. </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Protagonismo del alumno en la actividad.</w:t>
      </w:r>
    </w:p>
    <w:p>
      <w:pPr>
        <w:pStyle w:val="Normal"/>
        <w:jc w:val="both"/>
        <w:rPr/>
      </w:pPr>
      <w:r>
        <w:rPr>
          <w:rFonts w:cs="Arial"/>
          <w:sz w:val="22"/>
          <w:szCs w:val="22"/>
        </w:rPr>
        <w:t>Se favorecerá la integración activa de cada alumno, su motivación y autoestima, haciendo de la clase un lugar de encuentro en el que se sienta cómodo, relajado e importante, en el que pueda manifestar sus sugerencias e inquietudes en un marco de respeto, colaboración y cordialidad, y en el que se sienta con ganas de aprender. Se consideran fundamentales tanto su trabajo de estudio diario e individual fuera del aula, como su participación en el desarrollo de las sesiones.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Reconocimiento y potenciación de las habilidades del alumno.</w:t>
      </w:r>
    </w:p>
    <w:p>
      <w:pPr>
        <w:pStyle w:val="Normal"/>
        <w:jc w:val="both"/>
        <w:rPr/>
      </w:pPr>
      <w:r>
        <w:rPr>
          <w:rFonts w:cs="Arial"/>
          <w:sz w:val="22"/>
          <w:szCs w:val="22"/>
        </w:rPr>
        <w:t>Se hará más énfasis en las capacidades y fortalezas de los alumnos que en sus dificultades, definiendo así las metas en positivo, generando recursos para alcanzarlas, y ganando en seguridad y motivación de logro de las expectativas. Los obstáculos y los conflictos se plantean como oportunidades de crecimiento.</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Partir de los conocimientos previos de los alumnos.</w:t>
      </w:r>
    </w:p>
    <w:p>
      <w:pPr>
        <w:pStyle w:val="Normal"/>
        <w:jc w:val="both"/>
        <w:rPr/>
      </w:pPr>
      <w:r>
        <w:rPr>
          <w:rFonts w:cs="Arial"/>
          <w:sz w:val="22"/>
          <w:szCs w:val="22"/>
        </w:rPr>
        <w:t>Al comienzo de cada unidad de trabajo se realizarán cuestiones orales y pruebas de “puesta a punto”, que estarán encaminadas, por un lado, a detectar los conocimientos previos que el alumno posee y, por otro, a activar esos conocimientos. Estas actividades permitirán además adaptar el trabajo sobre las unidades didácticas.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Contextualización de los aprendizajes.</w:t>
      </w:r>
    </w:p>
    <w:p>
      <w:pPr>
        <w:pStyle w:val="Normal"/>
        <w:jc w:val="both"/>
        <w:rPr/>
      </w:pPr>
      <w:r>
        <w:rPr>
          <w:rFonts w:cs="Arial"/>
          <w:sz w:val="22"/>
          <w:szCs w:val="22"/>
        </w:rPr>
        <w:t>Al enmarcarse la actividad dentro de un contexto, el alumno entenderá que su realización es necesaria como vía para encontrar respuestas a preguntas o problemas previamente planteados. Se facilitará la capacidad de transferir los aprendizajes a situaciones cercanas a la realidad y, por lo tanto, complejas. Se busca de esta manera una progresiva adquisición de competencias para la vida.</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Interdisciplinariedad.</w:t>
      </w:r>
    </w:p>
    <w:p>
      <w:pPr>
        <w:pStyle w:val="Normal"/>
        <w:jc w:val="both"/>
        <w:rPr/>
      </w:pPr>
      <w:r>
        <w:rPr>
          <w:rFonts w:cs="Arial"/>
          <w:spacing w:val="-3"/>
          <w:sz w:val="22"/>
          <w:szCs w:val="22"/>
        </w:rPr>
        <w:t>Es necesario mostrar los contenidos relacionados, tanto entre los diversos bloques componentes de cada una de las materias, como entre ellas. Es necesario aprender a intervenir en situaciones de la realidad complejas, donde se da una interrelación de diversos fenómenos de forma simultánea y nunca parcelada.</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Ritmos de aprendizaje.</w:t>
      </w:r>
    </w:p>
    <w:p>
      <w:pPr>
        <w:pStyle w:val="Normal"/>
        <w:jc w:val="both"/>
        <w:rPr/>
      </w:pPr>
      <w:r>
        <w:rPr>
          <w:rFonts w:cs="Arial"/>
          <w:sz w:val="22"/>
          <w:szCs w:val="22"/>
        </w:rPr>
        <w:t xml:space="preserve">El proceso educativo es en sí mismo un proceso lento, que hay que mimar y cuidar. No existen las mejoras inmediatas. Son necesarias acciones continuadas y sostenidas en el tiempo. La </w:t>
      </w:r>
      <w:r>
        <w:rPr>
          <w:rFonts w:cs="Arial"/>
          <w:b/>
          <w:sz w:val="22"/>
          <w:szCs w:val="22"/>
        </w:rPr>
        <w:t>atención a la diversidad</w:t>
      </w:r>
      <w:r>
        <w:rPr>
          <w:rFonts w:cs="Arial"/>
          <w:sz w:val="22"/>
          <w:szCs w:val="22"/>
        </w:rPr>
        <w:t xml:space="preserve">, a la que dedico otro apartado, se asienta sobre estos principios. Pero el ritmo de la clase nunca deben marcarlos los alumnos que no trabajan, pues estos no adquieren competencias, ni alcanzan contenidos y no logran los objetivos principalmente por su falta de trabajo. Intentaremos motivarles y reengancharlos. Debido a esto el ritmo de la clase la marcaran los alumnos que trabajen en el día a día.  </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Secuenciación progresiva y cíclica de los contenidos.</w:t>
      </w:r>
    </w:p>
    <w:p>
      <w:pPr>
        <w:pStyle w:val="Normal"/>
        <w:jc w:val="both"/>
        <w:rPr/>
      </w:pPr>
      <w:r>
        <w:rPr>
          <w:rFonts w:cs="Arial"/>
          <w:sz w:val="22"/>
          <w:szCs w:val="22"/>
        </w:rPr>
        <w:t>En relación al epígrafe anterior, las actividades irán organizadas y secuenciadas en función de los objetivos propuestos, del tema tratado, y de las dificultades y progresos observados en el alumnado. Se retomarán periódicamente ciertos contenidos considerados clave para facilitar su adquisición por parte de todos.</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El papel del profesor.</w:t>
      </w:r>
    </w:p>
    <w:p>
      <w:pPr>
        <w:pStyle w:val="Normal"/>
        <w:jc w:val="both"/>
        <w:rPr/>
      </w:pPr>
      <w:r>
        <w:rPr>
          <w:rFonts w:cs="Arial"/>
          <w:sz w:val="22"/>
          <w:szCs w:val="22"/>
        </w:rPr>
        <w:t>Es organizador y animador de las diversas situaciones de aprendizaje, facilitando la adquisición significativa de conocimientos y competencias, y ayudando a crear una atmósfera adecuada de trabajo. Busca la implicación de los alumnos y los guía individualmente y como grupo en su proceso educativo. Genera confianza, potencia el diálogo y la manifestación libre y respetuosa de opiniones, favorece la integración y participación de todos los alumnos, atiende los diversos ritmos y estilos de aprendizaje, estimula, asesora y orienta. Propicia y mantiene el orden, y asegura el cumplimiento de las normas de convivencia del centro y del aula.</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El papel de las familias.</w:t>
      </w:r>
    </w:p>
    <w:p>
      <w:pPr>
        <w:pStyle w:val="Normal"/>
        <w:jc w:val="both"/>
        <w:rPr/>
      </w:pPr>
      <w:r>
        <w:rPr>
          <w:rFonts w:cs="Arial"/>
          <w:sz w:val="22"/>
          <w:szCs w:val="22"/>
        </w:rPr>
        <w:t>Familia y escuela, aunque de forma preeminente la primera, son los agentes protagonistas de la educación de los alumnos, de ahí la necesidad de trabajar conjuntamente y en la misma dirección. Se mantendrá por ello una comunicación fluida con las familias y se intentara la participación de los padres en los grupos interactivos mediante un banco de voluntarios organizado por el AMPA</w:t>
      </w:r>
      <w:r>
        <w:rPr>
          <w:rStyle w:val="Ancladenotaalpie"/>
          <w:rFonts w:cs="Arial"/>
          <w:sz w:val="22"/>
          <w:szCs w:val="22"/>
        </w:rPr>
        <w:footnoteReference w:id="3"/>
      </w:r>
      <w:r>
        <w:rPr>
          <w:rFonts w:cs="Arial"/>
          <w:sz w:val="22"/>
          <w:szCs w:val="22"/>
        </w:rPr>
        <w:t xml:space="preserve">. </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Las nuevas tecnologías.</w:t>
      </w:r>
    </w:p>
    <w:p>
      <w:pPr>
        <w:pStyle w:val="Normal"/>
        <w:jc w:val="both"/>
        <w:rPr/>
      </w:pPr>
      <w:r>
        <w:rPr>
          <w:rFonts w:cs="Arial"/>
          <w:sz w:val="22"/>
          <w:szCs w:val="22"/>
        </w:rPr>
        <w:t xml:space="preserve">Es un medio motivador pues estamos ante una generación eminentemente visual y tecnóloga. La utilización de pequeños videos y/o applets, presentaciones, redes sociales, whasapp, plataforma educativa classroom, etc, nos ayudara a hacer el proceso de aprendizaje más ameno y motivador. </w:t>
      </w:r>
    </w:p>
    <w:p>
      <w:pPr>
        <w:pStyle w:val="Ttulo2"/>
        <w:keepNext w:val="false"/>
        <w:keepLines w:val="false"/>
        <w:numPr>
          <w:ilvl w:val="0"/>
          <w:numId w:val="0"/>
        </w:numPr>
        <w:spacing w:lineRule="auto" w:line="360" w:before="0" w:after="0"/>
        <w:ind w:left="432" w:hanging="432"/>
        <w:contextualSpacing/>
        <w:mirrorIndents/>
        <w:jc w:val="both"/>
        <w:rPr/>
      </w:pPr>
      <w:bookmarkStart w:id="20" w:name="_Toc765132001"/>
      <w:r>
        <w:rPr>
          <w:sz w:val="22"/>
          <w:szCs w:val="22"/>
        </w:rPr>
        <w:t>Diversidad de las formas de clase.</w:t>
      </w:r>
      <w:bookmarkEnd w:id="20"/>
    </w:p>
    <w:p>
      <w:pPr>
        <w:pStyle w:val="Normal"/>
        <w:jc w:val="both"/>
        <w:rPr/>
      </w:pPr>
      <w:r>
        <w:rPr>
          <w:rFonts w:cs="Arial"/>
          <w:sz w:val="22"/>
          <w:szCs w:val="22"/>
        </w:rPr>
        <w:t>Las actividades programadas, serán variadas.</w:t>
      </w:r>
    </w:p>
    <w:p>
      <w:pPr>
        <w:pStyle w:val="Ttulo3"/>
        <w:keepNext w:val="false"/>
        <w:keepLines w:val="false"/>
        <w:numPr>
          <w:ilvl w:val="0"/>
          <w:numId w:val="0"/>
        </w:numPr>
        <w:spacing w:lineRule="auto" w:line="360" w:before="0" w:after="0"/>
        <w:ind w:left="0" w:hanging="0"/>
        <w:contextualSpacing/>
        <w:mirrorIndents/>
        <w:jc w:val="both"/>
        <w:rPr/>
      </w:pPr>
      <w:r>
        <w:rPr>
          <w:sz w:val="22"/>
          <w:szCs w:val="22"/>
        </w:rPr>
        <w:t>Clase magistra</w:t>
      </w:r>
      <w:r>
        <w:rPr>
          <w:b w:val="false"/>
          <w:sz w:val="22"/>
          <w:szCs w:val="22"/>
        </w:rPr>
        <w:t>l</w:t>
      </w:r>
      <w:r>
        <w:rPr>
          <w:sz w:val="22"/>
          <w:szCs w:val="22"/>
        </w:rPr>
        <w:t xml:space="preserve">, </w:t>
      </w:r>
    </w:p>
    <w:p>
      <w:pPr>
        <w:pStyle w:val="Normal"/>
        <w:jc w:val="both"/>
        <w:rPr/>
      </w:pPr>
      <w:r>
        <w:rPr>
          <w:rFonts w:cs="Arial"/>
          <w:sz w:val="22"/>
          <w:szCs w:val="22"/>
        </w:rPr>
        <w:t xml:space="preserve">Teniendo en cuanta que esta comunicación debe ser lo más interactiva posible, y que siempre que se puede se seguirá la secuenciación, Motivar-Repasar-Desarrollar-Asentar las posibilidades de desarrollo de la materia son: </w:t>
      </w:r>
    </w:p>
    <w:p>
      <w:pPr>
        <w:pStyle w:val="ListParagraph"/>
        <w:numPr>
          <w:ilvl w:val="0"/>
          <w:numId w:val="5"/>
        </w:numPr>
        <w:ind w:left="284" w:hanging="284"/>
        <w:jc w:val="both"/>
        <w:rPr/>
      </w:pPr>
      <w:r>
        <w:rPr>
          <w:rFonts w:cs="Arial"/>
          <w:sz w:val="22"/>
          <w:szCs w:val="22"/>
        </w:rPr>
        <w:t>Introducción con algún soporte visual.</w:t>
      </w:r>
    </w:p>
    <w:p>
      <w:pPr>
        <w:pStyle w:val="ListParagraph"/>
        <w:numPr>
          <w:ilvl w:val="0"/>
          <w:numId w:val="5"/>
        </w:numPr>
        <w:ind w:left="284" w:hanging="284"/>
        <w:jc w:val="both"/>
        <w:rPr/>
      </w:pPr>
      <w:r>
        <w:rPr>
          <w:rFonts w:cs="Arial"/>
          <w:sz w:val="22"/>
          <w:szCs w:val="22"/>
        </w:rPr>
        <w:t>Utilización de prácticas magistrales reales o en video.</w:t>
      </w:r>
    </w:p>
    <w:p>
      <w:pPr>
        <w:pStyle w:val="ListParagraph"/>
        <w:numPr>
          <w:ilvl w:val="0"/>
          <w:numId w:val="5"/>
        </w:numPr>
        <w:ind w:left="284" w:hanging="284"/>
        <w:jc w:val="both"/>
        <w:rPr/>
      </w:pPr>
      <w:r>
        <w:rPr>
          <w:rFonts w:cs="Arial"/>
          <w:sz w:val="22"/>
          <w:szCs w:val="22"/>
        </w:rPr>
        <w:t xml:space="preserve">Proponer la resolución de ejercicios. </w:t>
      </w:r>
    </w:p>
    <w:p>
      <w:pPr>
        <w:pStyle w:val="ListParagraph"/>
        <w:numPr>
          <w:ilvl w:val="0"/>
          <w:numId w:val="5"/>
        </w:numPr>
        <w:ind w:left="284" w:hanging="284"/>
        <w:jc w:val="both"/>
        <w:rPr/>
      </w:pPr>
      <w:r>
        <w:rPr>
          <w:rFonts w:cs="Arial"/>
          <w:sz w:val="22"/>
          <w:szCs w:val="22"/>
        </w:rPr>
        <w:t xml:space="preserve">Resolución de problemas. Algún problema se soluciona con errores. Con esto queremos dos cosas, que estén atentos en clase y no se limiten solo a copiar y sobre todo, que vean que de los errores se aprende. </w:t>
      </w:r>
    </w:p>
    <w:p>
      <w:pPr>
        <w:pStyle w:val="ListParagraph"/>
        <w:numPr>
          <w:ilvl w:val="0"/>
          <w:numId w:val="5"/>
        </w:numPr>
        <w:ind w:left="284" w:hanging="284"/>
        <w:jc w:val="both"/>
        <w:rPr/>
      </w:pPr>
      <w:r>
        <w:rPr>
          <w:rFonts w:cs="Arial"/>
          <w:sz w:val="22"/>
          <w:szCs w:val="22"/>
        </w:rPr>
        <w:t xml:space="preserve">Explicación en la pizarra. </w:t>
      </w:r>
    </w:p>
    <w:p>
      <w:pPr>
        <w:pStyle w:val="ListParagraph"/>
        <w:numPr>
          <w:ilvl w:val="0"/>
          <w:numId w:val="5"/>
        </w:numPr>
        <w:ind w:left="284" w:hanging="284"/>
        <w:jc w:val="both"/>
        <w:rPr/>
      </w:pPr>
      <w:r>
        <w:rPr>
          <w:rFonts w:cs="Arial"/>
          <w:sz w:val="22"/>
          <w:szCs w:val="22"/>
        </w:rPr>
        <w:t>Descubrimiento de alguna parte teórica por los alumnos con la guía del profesor, utilizando conocimientos y capacidades que poseen.</w:t>
      </w:r>
    </w:p>
    <w:p>
      <w:pPr>
        <w:pStyle w:val="ListParagraph"/>
        <w:numPr>
          <w:ilvl w:val="0"/>
          <w:numId w:val="5"/>
        </w:numPr>
        <w:ind w:left="284" w:hanging="284"/>
        <w:jc w:val="both"/>
        <w:rPr/>
      </w:pPr>
      <w:r>
        <w:rPr>
          <w:rFonts w:cs="Arial"/>
          <w:sz w:val="22"/>
          <w:szCs w:val="22"/>
        </w:rPr>
        <w:t>Multitud de preguntas para ver su nivel de comprensión y de seguimiento.</w:t>
      </w:r>
    </w:p>
    <w:p>
      <w:pPr>
        <w:pStyle w:val="ListParagraph"/>
        <w:numPr>
          <w:ilvl w:val="0"/>
          <w:numId w:val="5"/>
        </w:numPr>
        <w:ind w:left="284" w:hanging="284"/>
        <w:jc w:val="both"/>
        <w:rPr/>
      </w:pPr>
      <w:r>
        <w:rPr>
          <w:rFonts w:cs="Arial"/>
          <w:sz w:val="22"/>
          <w:szCs w:val="22"/>
        </w:rPr>
        <w:t>Seguimiento de una presentación con ejercicios y ejemplos integrados.</w:t>
      </w:r>
    </w:p>
    <w:p>
      <w:pPr>
        <w:pStyle w:val="ListParagraph"/>
        <w:numPr>
          <w:ilvl w:val="0"/>
          <w:numId w:val="5"/>
        </w:numPr>
        <w:ind w:left="284" w:hanging="284"/>
        <w:jc w:val="both"/>
        <w:rPr/>
      </w:pPr>
      <w:r>
        <w:rPr>
          <w:rFonts w:cs="Arial"/>
          <w:sz w:val="22"/>
          <w:szCs w:val="22"/>
        </w:rPr>
        <w:t xml:space="preserve">Cuestiones o problemas resueltos por los alumnos en clase, con la posibilidad de preguntar todas sus dudas de forma individual.  </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 xml:space="preserve">Clase Invertida. </w:t>
      </w:r>
    </w:p>
    <w:p>
      <w:pPr>
        <w:pStyle w:val="ListParagraph"/>
        <w:ind w:left="0" w:hanging="0"/>
        <w:jc w:val="both"/>
        <w:rPr/>
      </w:pPr>
      <w:r>
        <w:rPr>
          <w:rFonts w:cs="Arial"/>
          <w:sz w:val="22"/>
          <w:szCs w:val="22"/>
        </w:rPr>
        <w:t xml:space="preserve">En alguna parte de las unidades didácticas se les manda un texto o textos a leer, simulaciones, videos para trabajar en casa y al día siguiente en clase se empieza resolviendo problemas o cuestiones sobre lo trabajado en casa </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 xml:space="preserve">Grupos interactivos. </w:t>
      </w:r>
    </w:p>
    <w:p>
      <w:pPr>
        <w:pStyle w:val="ListParagraph"/>
        <w:ind w:left="0" w:hanging="0"/>
        <w:jc w:val="both"/>
        <w:rPr/>
      </w:pPr>
      <w:r>
        <w:rPr>
          <w:rFonts w:cs="Arial"/>
          <w:sz w:val="22"/>
          <w:szCs w:val="22"/>
        </w:rPr>
        <w:t>Se realizan grupos heterogéneos con un adulto para facilitar el aprendizaje pues un uso correcto de la comunicación facilita la comprensión. Estos grupos está demostrado que son buenos para los alumnos, pues al verse forzados a explicar, interiorizan mejor lo aprendido y los alumnos que van peor al tener una comunicación de los contenidos en un nivel más próximo ven favorecida la comprensión de los contenidos.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 xml:space="preserve">Laboratorio, </w:t>
      </w:r>
    </w:p>
    <w:p>
      <w:pPr>
        <w:pStyle w:val="ListParagraph"/>
        <w:ind w:left="0" w:hanging="0"/>
        <w:jc w:val="both"/>
        <w:rPr/>
      </w:pPr>
      <w:r>
        <w:rPr>
          <w:rFonts w:cs="Arial"/>
          <w:sz w:val="22"/>
          <w:szCs w:val="22"/>
        </w:rPr>
        <w:t xml:space="preserve">Uso de experiencias diseñadas para entender mejor lo aprendido, ver la parte experimental de la Fisica , trabajar en pareja y elaborar el guion de prácticas. Esto les sirve para aprender y como agente motivador. La Física es una ciencia experimental y la adquisición de conocimientos debe estar ligada a la práctica en un laboratorio. Se utiliza el laboratorio para afianzar contenidos, si llevamos pequeñas practicas a clase la utilidad es aclarar ideas o plantear problemas iniciales.  </w:t>
      </w:r>
    </w:p>
    <w:p>
      <w:pPr>
        <w:pStyle w:val="Normal"/>
        <w:jc w:val="both"/>
        <w:rPr/>
      </w:pPr>
      <w:r>
        <w:rPr>
          <w:rFonts w:cs="Arial"/>
          <w:sz w:val="22"/>
          <w:szCs w:val="22"/>
        </w:rPr>
        <w:t>No obstante, se potenciarán principalmente las actividades que se encaminen a un desarrollo autónomo del alumno. Se utilizarán, asimismo, diversos recursos (libros de texto, fotocopias, medios de comunicación, Internet, presentaciones,…)</w:t>
      </w:r>
    </w:p>
    <w:p>
      <w:pPr>
        <w:pStyle w:val="Normal"/>
        <w:jc w:val="both"/>
        <w:rPr/>
      </w:pPr>
      <w:r>
        <w:rPr>
          <w:rFonts w:eastAsia="Cambria" w:cs="Cambria"/>
          <w:b/>
          <w:sz w:val="22"/>
          <w:szCs w:val="22"/>
          <w:u w:val="single"/>
        </w:rPr>
        <w:t xml:space="preserve"> </w:t>
      </w:r>
      <w:r>
        <w:rPr>
          <w:rFonts w:eastAsia="Cambria" w:cs="Cambria"/>
          <w:b/>
          <w:sz w:val="22"/>
          <w:szCs w:val="22"/>
          <w:u w:val="single"/>
        </w:rPr>
        <w:t>11. CONCRECIÓN DEL PLAN DE IMPLEMENTACIÓN DE ELEMENTOS TRANSVERSALES</w:t>
      </w:r>
    </w:p>
    <w:p>
      <w:pPr>
        <w:pStyle w:val="LOnormal"/>
        <w:jc w:val="both"/>
        <w:rPr/>
      </w:pPr>
      <w:r>
        <w:rPr>
          <w:rFonts w:eastAsia="Cambria" w:cs="Cambria"/>
          <w:color w:val="000000"/>
          <w:sz w:val="22"/>
          <w:szCs w:val="22"/>
        </w:rPr>
        <w:t>De acuerdo con la orden ECD/1172/2022, los elementos transversales que deberán trabajarse serán:</w:t>
      </w:r>
    </w:p>
    <w:p>
      <w:pPr>
        <w:pStyle w:val="LOnormal"/>
        <w:jc w:val="both"/>
        <w:rPr/>
      </w:pPr>
      <w:r>
        <w:rPr>
          <w:rFonts w:eastAsia="Cambria" w:cs="Cambria"/>
          <w:color w:val="000000"/>
          <w:sz w:val="22"/>
          <w:szCs w:val="22"/>
        </w:rPr>
        <w:t>La comprensión lectora y expresión oral y escrita se especificará en el punto 10, concreción del plan lector.</w:t>
      </w:r>
    </w:p>
    <w:p>
      <w:pPr>
        <w:pStyle w:val="LOnormal"/>
        <w:jc w:val="both"/>
        <w:rPr/>
      </w:pPr>
      <w:r>
        <w:rPr>
          <w:rFonts w:eastAsia="Cambria" w:cs="Cambria"/>
          <w:color w:val="000000"/>
          <w:sz w:val="22"/>
          <w:szCs w:val="22"/>
        </w:rPr>
        <w:t>La comunicación audiovisual y la competencia digital se especificará en el punto 12, la concreción del plan de utilización de las tecnologías digitales.</w:t>
      </w:r>
    </w:p>
    <w:p>
      <w:pPr>
        <w:pStyle w:val="LOnormal"/>
        <w:jc w:val="both"/>
        <w:rPr/>
      </w:pPr>
      <w:r>
        <w:rPr>
          <w:rFonts w:eastAsia="Cambria" w:cs="Cambria"/>
          <w:color w:val="000000"/>
          <w:sz w:val="22"/>
          <w:szCs w:val="22"/>
        </w:rPr>
        <w:t>El emprendimiento social y empresarial se desarrollará mediante actividades que potencien el aprendizaje significativo del alumnado y haciendo que el alumnado sea el centro del aprendizaje.</w:t>
      </w:r>
    </w:p>
    <w:p>
      <w:pPr>
        <w:pStyle w:val="LOnormal"/>
        <w:jc w:val="both"/>
        <w:rPr/>
      </w:pPr>
      <w:r>
        <w:rPr>
          <w:rFonts w:eastAsia="Cambria" w:cs="Cambria"/>
          <w:color w:val="000000"/>
          <w:sz w:val="22"/>
          <w:szCs w:val="22"/>
        </w:rPr>
        <w:t>El fomento del espíritu crítico y científico y la creatividad se desarrollarán a través de situaciones de aprendizaje en el que el alumnado tiene que dar su propia opinión basada en los conceptos estudiados y el desarrollo de actividades de laboratorio.</w:t>
      </w:r>
    </w:p>
    <w:p>
      <w:pPr>
        <w:pStyle w:val="LOnormal"/>
        <w:jc w:val="both"/>
        <w:rPr/>
      </w:pPr>
      <w:r>
        <w:rPr>
          <w:rFonts w:eastAsia="Cambria" w:cs="Cambria"/>
          <w:color w:val="000000"/>
          <w:sz w:val="22"/>
          <w:szCs w:val="22"/>
        </w:rPr>
        <w:t xml:space="preserve">La educación emocional y en valores, la igualdad de género, el respeto mutuo y la cooperación entre iguales se trabajarán mediante la mediación de los diferentes conflictos que puedan surgir en clase, respetando las diferentes opiniones, al igual que en el trabajo en equipo. </w:t>
      </w:r>
    </w:p>
    <w:p>
      <w:pPr>
        <w:pStyle w:val="LOnormal"/>
        <w:jc w:val="both"/>
        <w:rPr/>
      </w:pPr>
      <w:r>
        <w:rPr>
          <w:rFonts w:eastAsia="Cambria" w:cs="Cambria"/>
          <w:color w:val="000000"/>
          <w:sz w:val="22"/>
          <w:szCs w:val="22"/>
        </w:rPr>
        <w:t>La educación para la salud, la formación estética, la educación para la sostenibilidad y el consumo responsable se emplearán durante las diferentes unidades didácticas ejemplos relacionados con la vida cotidiana del alumnado, basados en estos elementos transversales e incluyendo las ODS.</w:t>
      </w:r>
    </w:p>
    <w:p>
      <w:pPr>
        <w:pStyle w:val="Normal"/>
        <w:jc w:val="both"/>
        <w:rPr/>
      </w:pPr>
      <w:r>
        <w:rPr>
          <w:rFonts w:eastAsia="Cambria" w:cs="Cambria"/>
          <w:b/>
          <w:sz w:val="22"/>
          <w:szCs w:val="22"/>
          <w:u w:val="single"/>
        </w:rPr>
        <w:t>12. CONCRECIÓN DEL PLAN DE UTILIZACIÓN DE LAS TECNOLOGÍAS DIGITALES</w:t>
      </w:r>
      <w:r>
        <w:rPr>
          <w:rFonts w:eastAsia="Cambria" w:cs="Cambria"/>
          <w:sz w:val="22"/>
          <w:szCs w:val="22"/>
        </w:rPr>
        <w:t xml:space="preserve"> </w:t>
      </w:r>
    </w:p>
    <w:p>
      <w:pPr>
        <w:pStyle w:val="Normal"/>
        <w:jc w:val="both"/>
        <w:rPr/>
      </w:pPr>
      <w:r>
        <w:rPr>
          <w:rFonts w:cs="Arial"/>
          <w:sz w:val="22"/>
          <w:szCs w:val="22"/>
        </w:rPr>
        <w:t xml:space="preserve">En consonancia con las características del actual contexto socio-cultural y, por consiguiente, con las inquietudes e intereses de los alumnos, es importante integrar las nuevas tecnologías en el aula. </w:t>
      </w:r>
    </w:p>
    <w:p>
      <w:pPr>
        <w:pStyle w:val="Normal"/>
        <w:jc w:val="both"/>
        <w:rPr/>
      </w:pPr>
      <w:r>
        <w:rPr>
          <w:rFonts w:cs="Arial"/>
          <w:sz w:val="22"/>
          <w:szCs w:val="22"/>
        </w:rPr>
        <w:t xml:space="preserve">Los alumnos utilizarán el ordenador para la </w:t>
      </w:r>
      <w:r>
        <w:rPr>
          <w:rFonts w:cs="Arial"/>
          <w:b/>
          <w:sz w:val="22"/>
          <w:szCs w:val="22"/>
        </w:rPr>
        <w:t>búsqueda y selección de informaciones</w:t>
      </w:r>
      <w:r>
        <w:rPr>
          <w:rFonts w:cs="Arial"/>
          <w:sz w:val="22"/>
          <w:szCs w:val="22"/>
        </w:rPr>
        <w:t xml:space="preserve"> necesarias para la elaboración y realización de prácticas de laboratorio así como </w:t>
      </w:r>
      <w:r>
        <w:rPr>
          <w:rFonts w:cs="Arial"/>
          <w:b/>
          <w:sz w:val="22"/>
          <w:szCs w:val="22"/>
        </w:rPr>
        <w:t>medio de consulta</w:t>
      </w:r>
      <w:r>
        <w:rPr>
          <w:rFonts w:cs="Arial"/>
          <w:sz w:val="22"/>
          <w:szCs w:val="22"/>
        </w:rPr>
        <w:t>. Esta labor será realizada frecuentemente fuera del horario lectivo, aunque también se podrá realizar dentro de alguna sesión.</w:t>
      </w:r>
    </w:p>
    <w:p>
      <w:pPr>
        <w:pStyle w:val="Normal"/>
        <w:jc w:val="both"/>
        <w:rPr/>
      </w:pPr>
      <w:r>
        <w:rPr>
          <w:rFonts w:cs="Arial"/>
          <w:sz w:val="22"/>
          <w:szCs w:val="22"/>
        </w:rPr>
        <w:t xml:space="preserve">El profesor utilizará en el aula el ordenador fijo de aula y el proyector para la </w:t>
      </w:r>
      <w:r>
        <w:rPr>
          <w:rFonts w:cs="Arial"/>
          <w:b/>
          <w:sz w:val="22"/>
          <w:szCs w:val="22"/>
        </w:rPr>
        <w:t>ilustración y/ o ampliación de determinados contenidos</w:t>
      </w:r>
      <w:r>
        <w:rPr>
          <w:rFonts w:cs="Arial"/>
          <w:sz w:val="22"/>
          <w:szCs w:val="22"/>
        </w:rPr>
        <w:t xml:space="preserve"> de la programación. Los alumnos podrán utilizarlo si resulta necesario para la </w:t>
      </w:r>
      <w:r>
        <w:rPr>
          <w:rFonts w:cs="Arial"/>
          <w:b/>
          <w:sz w:val="22"/>
          <w:szCs w:val="22"/>
        </w:rPr>
        <w:t>presentación</w:t>
      </w:r>
      <w:r>
        <w:rPr>
          <w:rFonts w:cs="Arial"/>
          <w:sz w:val="22"/>
          <w:szCs w:val="22"/>
        </w:rPr>
        <w:t xml:space="preserve"> de alguno de sus </w:t>
      </w:r>
      <w:r>
        <w:rPr>
          <w:rFonts w:cs="Arial"/>
          <w:b/>
          <w:sz w:val="22"/>
          <w:szCs w:val="22"/>
        </w:rPr>
        <w:t>trabajos</w:t>
      </w:r>
      <w:r>
        <w:rPr>
          <w:rFonts w:cs="Arial"/>
          <w:sz w:val="22"/>
          <w:szCs w:val="22"/>
        </w:rPr>
        <w:t>, si previamente se ha indicado que pueden o deben ser presentados en ese formato.</w:t>
      </w:r>
    </w:p>
    <w:p>
      <w:pPr>
        <w:pStyle w:val="Normal"/>
        <w:jc w:val="both"/>
        <w:rPr/>
      </w:pPr>
      <w:r>
        <w:rPr>
          <w:rFonts w:cs="Arial"/>
          <w:sz w:val="22"/>
          <w:szCs w:val="22"/>
        </w:rPr>
        <w:t xml:space="preserve">Los alumnos tendrán un </w:t>
      </w:r>
      <w:r>
        <w:rPr>
          <w:rFonts w:cs="Arial"/>
          <w:b/>
          <w:sz w:val="22"/>
          <w:szCs w:val="22"/>
        </w:rPr>
        <w:t>grupo de whasapp con la participación del profesor</w:t>
      </w:r>
      <w:r>
        <w:rPr>
          <w:rFonts w:cs="Arial"/>
          <w:sz w:val="22"/>
          <w:szCs w:val="22"/>
        </w:rPr>
        <w:t xml:space="preserve"> para </w:t>
      </w:r>
      <w:r>
        <w:rPr>
          <w:rFonts w:cs="Arial"/>
          <w:b/>
          <w:sz w:val="22"/>
          <w:szCs w:val="22"/>
        </w:rPr>
        <w:t xml:space="preserve">resolver dudas </w:t>
      </w:r>
      <w:r>
        <w:rPr>
          <w:rFonts w:cs="Arial"/>
          <w:sz w:val="22"/>
          <w:szCs w:val="22"/>
        </w:rPr>
        <w:t xml:space="preserve">puntuales, sobre problemas o teoría. Se utilizara como si fuera un </w:t>
      </w:r>
      <w:r>
        <w:rPr>
          <w:rFonts w:cs="Arial"/>
          <w:b/>
          <w:sz w:val="22"/>
          <w:szCs w:val="22"/>
        </w:rPr>
        <w:t>grupo de trabajo</w:t>
      </w:r>
      <w:r>
        <w:rPr>
          <w:rFonts w:cs="Arial"/>
          <w:sz w:val="22"/>
          <w:szCs w:val="22"/>
        </w:rPr>
        <w:t>, donde compartir dudas y resoluciones.</w:t>
      </w:r>
    </w:p>
    <w:p>
      <w:pPr>
        <w:pStyle w:val="Normal"/>
        <w:jc w:val="both"/>
        <w:rPr/>
      </w:pPr>
      <w:r>
        <w:rPr>
          <w:rFonts w:cs="Arial"/>
          <w:sz w:val="22"/>
          <w:szCs w:val="22"/>
        </w:rPr>
        <w:t xml:space="preserve">Se colgarán diversos trabajos y aportaciones de los alumnos en las redes sociales del IES. </w:t>
      </w:r>
    </w:p>
    <w:p>
      <w:pPr>
        <w:pStyle w:val="Normal"/>
        <w:jc w:val="both"/>
        <w:rPr/>
      </w:pPr>
      <w:r>
        <w:rPr>
          <w:rFonts w:eastAsia="Cambria" w:cs="Cambria"/>
          <w:b/>
          <w:sz w:val="22"/>
          <w:szCs w:val="22"/>
          <w:u w:val="single"/>
        </w:rPr>
        <w:t>Se utiliza la plataforma Classroom para colgar apuntes, presentaciones, las colecciones de</w:t>
      </w:r>
      <w:r>
        <w:rPr>
          <w:rFonts w:cs="Arial"/>
          <w:sz w:val="22"/>
          <w:szCs w:val="22"/>
        </w:rPr>
        <w:t xml:space="preserve"> ejercicios de EVAU, enlaces a ejercicios de la Olimpiada Química, problemas y cuestiones resueltos, enlaces a paginas web y cualquier material que se pueda compartir con lso alumnos.</w:t>
      </w:r>
    </w:p>
    <w:p>
      <w:pPr>
        <w:pStyle w:val="Normal"/>
        <w:jc w:val="both"/>
        <w:rPr>
          <w:rFonts w:ascii="Calibri" w:hAnsi="Calibri" w:cs="Arial"/>
          <w:sz w:val="22"/>
          <w:szCs w:val="22"/>
        </w:rPr>
      </w:pPr>
      <w:r>
        <w:rPr>
          <w:rFonts w:cs="Arial"/>
          <w:sz w:val="22"/>
          <w:szCs w:val="22"/>
        </w:rPr>
      </w:r>
    </w:p>
    <w:p>
      <w:pPr>
        <w:pStyle w:val="Normal"/>
        <w:jc w:val="both"/>
        <w:rPr/>
      </w:pPr>
      <w:r>
        <w:rPr>
          <w:rFonts w:cs="Arial"/>
          <w:sz w:val="22"/>
          <w:szCs w:val="22"/>
        </w:rPr>
        <w:t xml:space="preserve"> </w:t>
      </w:r>
    </w:p>
    <w:p>
      <w:pPr>
        <w:pStyle w:val="Normal"/>
        <w:jc w:val="both"/>
        <w:rPr/>
      </w:pPr>
      <w:r>
        <w:rPr>
          <w:rFonts w:eastAsia="Cambria" w:cs="Cambria"/>
          <w:b/>
          <w:sz w:val="22"/>
          <w:szCs w:val="22"/>
          <w:u w:val="single"/>
        </w:rPr>
        <w:t>13 CONCRECIÓN DEL PLAN LECTOR</w:t>
      </w:r>
    </w:p>
    <w:p>
      <w:pPr>
        <w:pStyle w:val="Normal"/>
        <w:jc w:val="both"/>
        <w:rPr/>
      </w:pPr>
      <w:r>
        <w:rPr>
          <w:rFonts w:cs="Arial"/>
          <w:sz w:val="22"/>
          <w:szCs w:val="22"/>
        </w:rPr>
        <w:t xml:space="preserve">Este punto es considerado clave en el centro, como evidencia el </w:t>
      </w:r>
      <w:r>
        <w:rPr>
          <w:rFonts w:cs="Arial"/>
          <w:b/>
          <w:sz w:val="22"/>
          <w:szCs w:val="22"/>
        </w:rPr>
        <w:t xml:space="preserve">Plan de Animación a la Lectura, englobado dentro del Plan de Competencia Ligüistica. </w:t>
      </w:r>
      <w:r>
        <w:rPr>
          <w:rFonts w:cs="Arial"/>
          <w:sz w:val="22"/>
          <w:szCs w:val="22"/>
        </w:rPr>
        <w:t>Al estar en un curso de bachillerato, además terminal y con una prueba tan definitiva como es la EVAU, se valorara realizar la lectura de algún texto científico, y/o científico divulgativo siempre que la temporalización lo permita.</w:t>
      </w:r>
    </w:p>
    <w:p>
      <w:pPr>
        <w:pStyle w:val="Normal"/>
        <w:jc w:val="both"/>
        <w:rPr/>
      </w:pPr>
      <w:r>
        <w:rPr>
          <w:rFonts w:eastAsia="Cambria" w:cs="Cambria"/>
          <w:b/>
          <w:sz w:val="22"/>
          <w:szCs w:val="22"/>
          <w:u w:val="single"/>
        </w:rPr>
        <w:t>14. MECANISMOS DE REVISIÓN, EVALUACIÓN Y MODIFICACIÓN DE LAS PROGRAMACIONES DIDÁCTICAS</w:t>
      </w:r>
    </w:p>
    <w:p>
      <w:pPr>
        <w:pStyle w:val="LOnormal"/>
        <w:jc w:val="both"/>
        <w:rPr/>
      </w:pPr>
      <w:r>
        <w:rPr>
          <w:rFonts w:eastAsia="Cambria" w:cs="Cambria"/>
          <w:color w:val="000000"/>
          <w:sz w:val="22"/>
          <w:szCs w:val="22"/>
        </w:rPr>
        <w:t xml:space="preserve">En primer lugar es necesario revisar la programación al principio del curso para comprobar que cumple con la legislación vigente (ya que puede ser modificada) y que está adaptada al grupo de alumnos del curso que se va a iniciar. En este momento se pueden realizar algunas modificaciones, especialmente en cuanto a las concreciones metodológicas y en relación a las Medidas de Atención a la Diversidad, con el fin de adaptar la Programación a la realidad del grupo antes de que sea incorporada a la Programación General Anual. </w:t>
      </w:r>
    </w:p>
    <w:p>
      <w:pPr>
        <w:pStyle w:val="LOnormal"/>
        <w:jc w:val="both"/>
        <w:rPr/>
      </w:pPr>
      <w:r>
        <w:rPr>
          <w:rFonts w:eastAsia="Cambria" w:cs="Cambria"/>
          <w:color w:val="000000"/>
          <w:sz w:val="22"/>
          <w:szCs w:val="22"/>
        </w:rPr>
        <w:t xml:space="preserve">Durante el desarrollo del curso, el grado de cumplimiento de la programación de cada materia se valora mensualmente en una de las Reuniones de Departamento. De esta forma se pueden detectar desviaciones entre los diferentes grupos de un mismo nivel, por ejemplo. </w:t>
      </w:r>
    </w:p>
    <w:p>
      <w:pPr>
        <w:pStyle w:val="LOnormal"/>
        <w:jc w:val="both"/>
        <w:rPr/>
      </w:pPr>
      <w:r>
        <w:rPr>
          <w:rFonts w:eastAsia="Cambria" w:cs="Cambria"/>
          <w:color w:val="000000"/>
          <w:sz w:val="22"/>
          <w:szCs w:val="22"/>
        </w:rPr>
        <w:t xml:space="preserve">Al menos en una ocasión durante el curso, los alumnos/as de cada grupo podrán contestar voluntariamente a unos cuestionarios online en relación al proceso enseñanza-aprendizaje, al clima de clase y a su propio esfuerzo. Las respuestas de los alumnos/as a estos cuestionarios son un elemento muy valioso como retroalimentación de lo planteado en esta Programación (actividades, metodología, secuenciación, evaluación, etc.) y de la labor docente. El análisis de estas respuestas puede servir para corregir errores sistemáticos, para incorporar mejoras propuestas por los alumnos/as y, en definitiva, para optimizar la Programación Didáctica y el proceso enseñanza-aprendizaje. </w:t>
      </w:r>
    </w:p>
    <w:p>
      <w:pPr>
        <w:pStyle w:val="LOnormal"/>
        <w:jc w:val="both"/>
        <w:rPr/>
      </w:pPr>
      <w:r>
        <w:rPr>
          <w:rFonts w:eastAsia="Cambria" w:cs="Cambria"/>
          <w:color w:val="000000"/>
          <w:sz w:val="22"/>
          <w:szCs w:val="22"/>
        </w:rPr>
        <w:t xml:space="preserve">Por otra parte, se realizará una evaluación de los resultados académicos obtenidos por los diferentes grupos de alumnos/as en la materia en este curso, comparándolos con los obtenidos en años anteriores y con la media de la comunidad autónoma de Aragón para cada nivel. Como consecuencia de dicho análisis se establecerán una serie de medidas destinadas a la mejora de dichos resultados que aparecerán recogidas en la Memoria del Departamento. </w:t>
      </w:r>
    </w:p>
    <w:p>
      <w:pPr>
        <w:pStyle w:val="LOnormal"/>
        <w:jc w:val="both"/>
        <w:rPr/>
      </w:pPr>
      <w:r>
        <w:rPr>
          <w:rFonts w:eastAsia="Cambria" w:cs="Cambria"/>
          <w:color w:val="000000"/>
          <w:sz w:val="22"/>
          <w:szCs w:val="22"/>
        </w:rPr>
        <w:t xml:space="preserve">Finalmente, se procederá a revisar la programación una vez que el curso haya terminado para la elaboración de la Memoria del Departamento. En este punto y a la vista del grado de cumplimiento global de la programación, de los resultados académicos del grupo, de las evaluaciones de los alumnos se puede hacer una valoración más nítida y precisa del proceso enseñanza-aprendizaje. Es en ese momento cuando se pueden proponer modificaciones de la programación como respuesta a desajustes o a propuestas de alumnos/as o de otros docentes del departamento. No obstante, cualquier modificación significativa deberá tener una justificación que la considere necesaria. </w:t>
      </w:r>
    </w:p>
    <w:p>
      <w:pPr>
        <w:pStyle w:val="Normal"/>
        <w:jc w:val="both"/>
        <w:rPr/>
      </w:pPr>
      <w:r>
        <w:rPr>
          <w:rFonts w:eastAsia="Cambria" w:cs="Cambria"/>
          <w:b/>
          <w:sz w:val="22"/>
          <w:szCs w:val="22"/>
          <w:u w:val="single"/>
        </w:rPr>
        <w:t>15. ACTIVIDADES COMPLEMENTARIAS Y EXTRAESCOLARES</w:t>
      </w:r>
    </w:p>
    <w:p>
      <w:pPr>
        <w:pStyle w:val="Normal"/>
        <w:jc w:val="both"/>
        <w:rPr/>
      </w:pPr>
      <w:r>
        <w:rPr>
          <w:rFonts w:eastAsia="Cambria" w:cs="Cambria"/>
          <w:sz w:val="22"/>
          <w:szCs w:val="22"/>
          <w:u w:val="single"/>
        </w:rPr>
        <w:t>Visita al ISQCH</w:t>
      </w:r>
    </w:p>
    <w:p>
      <w:pPr>
        <w:pStyle w:val="Normal"/>
        <w:numPr>
          <w:ilvl w:val="0"/>
          <w:numId w:val="6"/>
        </w:numPr>
        <w:jc w:val="both"/>
        <w:rPr/>
      </w:pPr>
      <w:r>
        <w:rPr>
          <w:rFonts w:eastAsia="Cambria" w:cs="Cambria"/>
          <w:sz w:val="22"/>
          <w:szCs w:val="22"/>
        </w:rPr>
        <w:t xml:space="preserve">En esta visita el catedrático Jesús Pérez hace una presentación del Instituto y de la facultada de ciencias </w:t>
      </w:r>
    </w:p>
    <w:p>
      <w:pPr>
        <w:pStyle w:val="Normal"/>
        <w:numPr>
          <w:ilvl w:val="0"/>
          <w:numId w:val="6"/>
        </w:numPr>
        <w:jc w:val="both"/>
        <w:rPr/>
      </w:pPr>
      <w:r>
        <w:rPr>
          <w:rFonts w:eastAsia="Cambria" w:cs="Cambria"/>
          <w:sz w:val="22"/>
          <w:szCs w:val="22"/>
        </w:rPr>
        <w:t>Una demostración experimental sobre diferentes lineas de investigación del ISQCH</w:t>
      </w:r>
    </w:p>
    <w:p>
      <w:pPr>
        <w:pStyle w:val="Normal"/>
        <w:numPr>
          <w:ilvl w:val="0"/>
          <w:numId w:val="6"/>
        </w:numPr>
        <w:jc w:val="both"/>
        <w:rPr/>
      </w:pPr>
      <w:r>
        <w:rPr>
          <w:rFonts w:eastAsia="Cambria" w:cs="Cambria"/>
          <w:sz w:val="22"/>
          <w:szCs w:val="22"/>
        </w:rPr>
        <w:t>Una visita a los laboratorios de investigación, con visita al RMN y difracto metro de rayos X</w:t>
      </w:r>
    </w:p>
    <w:p>
      <w:pPr>
        <w:pStyle w:val="Normal"/>
        <w:numPr>
          <w:ilvl w:val="0"/>
          <w:numId w:val="6"/>
        </w:numPr>
        <w:jc w:val="both"/>
        <w:rPr/>
      </w:pPr>
      <w:r>
        <w:rPr>
          <w:rFonts w:eastAsia="Cambria" w:cs="Cambria"/>
          <w:sz w:val="22"/>
          <w:szCs w:val="22"/>
        </w:rPr>
        <w:t>Charla con alumnos que están cursando grados de ciencias, ingeniería, FP superior……..</w:t>
      </w:r>
    </w:p>
    <w:p>
      <w:pPr>
        <w:pStyle w:val="Normal"/>
        <w:jc w:val="both"/>
        <w:rPr/>
      </w:pPr>
      <w:r>
        <w:rPr>
          <w:rFonts w:eastAsia="Cambria" w:cs="Cambria"/>
          <w:sz w:val="22"/>
          <w:szCs w:val="22"/>
          <w:u w:val="single"/>
        </w:rPr>
        <w:t>Visita al Laboratorio Subterráneo de Canfranc</w:t>
      </w:r>
      <w:r>
        <w:rPr>
          <w:rFonts w:eastAsia="Cambria" w:cs="Cambria"/>
          <w:sz w:val="22"/>
          <w:szCs w:val="22"/>
        </w:rPr>
        <w:t xml:space="preserve">: ver en vivo uno de los centros punteros de investigación en Física les puede ayudar para comprender más la materia, así como aspecto motivador </w:t>
      </w:r>
    </w:p>
    <w:p>
      <w:pPr>
        <w:pStyle w:val="Normal"/>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cs="Cambria"/>
          <w:b/>
          <w:sz w:val="22"/>
          <w:szCs w:val="22"/>
          <w:u w:val="single"/>
        </w:rPr>
        <w:t>16. EN SU CASO, MEDIDAS COMPLEMENTARIAS QUE SE PLANTEAN PARA EL TRATAMIENTO DE LAS MATERIAS DENTRO DEL PROYECTO BILINGÜE</w:t>
      </w:r>
    </w:p>
    <w:p>
      <w:pPr>
        <w:pStyle w:val="Normal"/>
        <w:jc w:val="both"/>
        <w:rPr/>
      </w:pPr>
      <w:r>
        <w:rPr>
          <w:rFonts w:eastAsia="Cambria" w:cs="Cambria"/>
          <w:sz w:val="22"/>
          <w:szCs w:val="22"/>
        </w:rPr>
        <w:t xml:space="preserve">En bachillerato no es asignatura bilingüe </w:t>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pPr>
      <w:r>
        <w:rPr>
          <w:rFonts w:eastAsia="Cambria" w:cs="Cambria"/>
          <w:b/>
          <w:sz w:val="22"/>
          <w:szCs w:val="22"/>
          <w:u w:val="single"/>
        </w:rPr>
        <w:t>17. FORMA EN LA QUE SE DAN A CONOCER LOS ASPECTOS RELEVANTES DE ESTA PROGRAMACIÓN AL ALUMNADO Y LAS FAMILIAS</w:t>
      </w:r>
    </w:p>
    <w:p>
      <w:pPr>
        <w:pStyle w:val="Normal"/>
        <w:jc w:val="both"/>
        <w:rPr/>
      </w:pPr>
      <w:r>
        <w:rPr>
          <w:rFonts w:eastAsia="Cambria" w:cs="Cambria"/>
          <w:sz w:val="22"/>
          <w:szCs w:val="22"/>
        </w:rPr>
        <w:t xml:space="preserve">Los criterios de Calificación, instrumentos de evaluación se dan a conocer el primer  día del curso a los alumnos. </w:t>
      </w:r>
    </w:p>
    <w:p>
      <w:pPr>
        <w:pStyle w:val="Normal"/>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cs="Cambria"/>
          <w:sz w:val="22"/>
          <w:szCs w:val="22"/>
        </w:rPr>
        <w:t xml:space="preserve">Ademas se informa de que están colgados de la pagina web del instituto  </w:t>
      </w:r>
    </w:p>
    <w:p>
      <w:pPr>
        <w:pStyle w:val="Normal"/>
        <w:jc w:val="both"/>
        <w:rPr>
          <w:rFonts w:ascii="Arial" w:hAnsi="Arial" w:eastAsia="Cambria" w:cs="Cambria"/>
          <w:b/>
          <w:b/>
          <w:sz w:val="20"/>
          <w:szCs w:val="20"/>
          <w:u w:val="single"/>
        </w:rPr>
      </w:pPr>
      <w:r>
        <w:rPr>
          <w:rFonts w:eastAsia="Cambria" w:cs="Cambria" w:ascii="Arial" w:hAnsi="Arial"/>
          <w:b/>
          <w:sz w:val="20"/>
          <w:szCs w:val="20"/>
          <w:u w:val="single"/>
        </w:rPr>
      </w:r>
    </w:p>
    <w:p>
      <w:pPr>
        <w:pStyle w:val="Normal"/>
        <w:spacing w:before="0" w:after="0"/>
        <w:rPr>
          <w:rFonts w:ascii="Arial" w:hAnsi="Arial" w:eastAsia="Arial" w:cs="Arial"/>
          <w:color w:val="000000"/>
          <w:sz w:val="20"/>
          <w:szCs w:val="20"/>
        </w:rPr>
      </w:pPr>
      <w:r>
        <w:rPr>
          <w:rFonts w:eastAsia="Arial" w:cs="Arial" w:ascii="Arial" w:hAnsi="Arial"/>
          <w:color w:val="000000"/>
          <w:sz w:val="20"/>
          <w:szCs w:val="20"/>
        </w:rPr>
      </w:r>
    </w:p>
    <w:p>
      <w:pPr>
        <w:sectPr>
          <w:headerReference w:type="default" r:id="rId11"/>
          <w:footerReference w:type="default" r:id="rId12"/>
          <w:footnotePr>
            <w:numFmt w:val="decimal"/>
          </w:footnotePr>
          <w:type w:val="nextPage"/>
          <w:pgSz w:w="11906" w:h="16838"/>
          <w:pgMar w:left="1701" w:right="1701" w:header="708" w:top="1417" w:footer="708" w:bottom="1417" w:gutter="0"/>
          <w:pgNumType w:start="1" w:fmt="decimal"/>
          <w:formProt w:val="false"/>
          <w:titlePg/>
          <w:textDirection w:val="lrTb"/>
          <w:docGrid w:type="default" w:linePitch="100" w:charSpace="4096"/>
        </w:sectPr>
        <w:pStyle w:val="Normal"/>
        <w:widowControl/>
        <w:pBdr/>
        <w:shd w:val="clear" w:fill="auto"/>
        <w:spacing w:lineRule="auto" w:line="240" w:before="0" w:after="200"/>
        <w:ind w:left="0" w:right="0" w:hanging="0"/>
        <w:jc w:val="both"/>
        <w:rPr/>
      </w:pPr>
      <w:r>
        <w:rPr/>
      </w:r>
    </w:p>
    <w:p>
      <w:pPr>
        <w:pStyle w:val="Normal"/>
        <w:rPr>
          <w:rFonts w:ascii="Cambria" w:hAnsi="Cambria"/>
          <w:sz w:val="22"/>
          <w:szCs w:val="22"/>
          <w:u w:val="single"/>
        </w:rPr>
      </w:pPr>
      <w:r>
        <w:rPr>
          <w:rFonts w:ascii="Cambria" w:hAnsi="Cambria"/>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tbl>
      <w:tblPr>
        <w:tblW w:w="8479" w:type="dxa"/>
        <w:jc w:val="left"/>
        <w:tblInd w:w="0" w:type="dxa"/>
        <w:tblCellMar>
          <w:top w:w="0" w:type="dxa"/>
          <w:left w:w="108" w:type="dxa"/>
          <w:bottom w:w="0" w:type="dxa"/>
          <w:right w:w="108" w:type="dxa"/>
        </w:tblCellMar>
        <w:tblLook w:firstRow="1" w:noVBand="1" w:lastRow="0" w:firstColumn="1" w:lastColumn="0" w:noHBand="0" w:val="04a0"/>
      </w:tblPr>
      <w:tblGrid>
        <w:gridCol w:w="3226"/>
        <w:gridCol w:w="5252"/>
      </w:tblGrid>
      <w:tr>
        <w:trPr>
          <w:trHeight w:val="2470" w:hRule="atLeast"/>
        </w:trPr>
        <w:tc>
          <w:tcPr>
            <w:tcW w:w="3226" w:type="dxa"/>
            <w:tcBorders>
              <w:top w:val="single" w:sz="8" w:space="0" w:color="4F81BD"/>
              <w:bottom w:val="single" w:sz="8" w:space="0" w:color="4F81BD"/>
            </w:tcBorders>
            <w:shd w:color="auto" w:fill="548DD4" w:val="clear"/>
          </w:tcPr>
          <w:p>
            <w:pPr>
              <w:pStyle w:val="Normal"/>
              <w:widowControl w:val="false"/>
              <w:jc w:val="center"/>
              <w:rPr/>
            </w:pPr>
            <w:r>
              <w:rPr>
                <w:rFonts w:ascii="Cambria" w:hAnsi="Cambria"/>
                <w:color w:val="FFFFFF"/>
                <w:sz w:val="22"/>
                <w:szCs w:val="22"/>
              </w:rPr>
              <w:t xml:space="preserve">IES LA PUEBLA DE  </w:t>
            </w:r>
          </w:p>
          <w:p>
            <w:pPr>
              <w:pStyle w:val="Normal"/>
              <w:widowControl w:val="false"/>
              <w:spacing w:before="0" w:after="200"/>
              <w:jc w:val="center"/>
              <w:rPr/>
            </w:pPr>
            <w:r>
              <w:rPr>
                <w:rFonts w:ascii="Cambria" w:hAnsi="Cambria"/>
                <w:color w:val="FFFFFF"/>
                <w:sz w:val="22"/>
                <w:szCs w:val="22"/>
              </w:rPr>
              <w:t xml:space="preserve">             </w:t>
            </w:r>
            <w:r>
              <w:rPr>
                <w:rFonts w:ascii="Cambria" w:hAnsi="Cambria"/>
                <w:color w:val="FFFFFF"/>
                <w:sz w:val="22"/>
                <w:szCs w:val="22"/>
              </w:rPr>
              <w:t>ALFINDÉN</w:t>
            </w:r>
          </w:p>
        </w:tc>
        <w:tc>
          <w:tcPr>
            <w:tcW w:w="5252" w:type="dxa"/>
            <w:tcBorders>
              <w:top w:val="single" w:sz="8" w:space="0" w:color="4F81BD"/>
              <w:bottom w:val="single" w:sz="8" w:space="0" w:color="4F81BD"/>
            </w:tcBorders>
            <w:shd w:color="auto" w:fill="auto" w:val="clear"/>
          </w:tcPr>
          <w:p>
            <w:pPr>
              <w:pStyle w:val="Normal"/>
              <w:widowControl w:val="false"/>
              <w:tabs>
                <w:tab w:val="clear" w:pos="720"/>
                <w:tab w:val="center" w:pos="4252" w:leader="none"/>
                <w:tab w:val="right" w:pos="8504" w:leader="none"/>
              </w:tabs>
              <w:rPr/>
            </w:pPr>
            <w:r>
              <w:rPr>
                <w:rFonts w:ascii="Cambria" w:hAnsi="Cambria"/>
                <w:color w:val="1F497D"/>
                <w:sz w:val="22"/>
                <w:szCs w:val="22"/>
              </w:rPr>
              <w:t>PROGRAMACIÓN DIDÁCTICA DE  FÍSICA Y QUÍMICA</w:t>
            </w:r>
          </w:p>
          <w:p>
            <w:pPr>
              <w:pStyle w:val="Normal"/>
              <w:widowControl w:val="false"/>
              <w:tabs>
                <w:tab w:val="clear" w:pos="720"/>
                <w:tab w:val="center" w:pos="4252" w:leader="none"/>
                <w:tab w:val="right" w:pos="8504" w:leader="none"/>
              </w:tabs>
              <w:rPr/>
            </w:pPr>
            <w:r>
              <w:rPr>
                <w:rFonts w:ascii="Cambria" w:hAnsi="Cambria"/>
                <w:color w:val="1F497D"/>
                <w:sz w:val="22"/>
                <w:szCs w:val="22"/>
              </w:rPr>
              <w:t>QUÍMICA 2ºBCH</w:t>
            </w:r>
          </w:p>
          <w:p>
            <w:pPr>
              <w:pStyle w:val="Normal"/>
              <w:widowControl w:val="false"/>
              <w:tabs>
                <w:tab w:val="clear" w:pos="720"/>
                <w:tab w:val="center" w:pos="4252" w:leader="none"/>
                <w:tab w:val="right" w:pos="8504" w:leader="none"/>
              </w:tabs>
              <w:rPr/>
            </w:pPr>
            <w:bookmarkStart w:id="21" w:name="_heading=h.gjdgxs5"/>
            <w:bookmarkEnd w:id="21"/>
            <w:r>
              <w:rPr>
                <w:rFonts w:ascii="Cambria" w:hAnsi="Cambria"/>
                <w:color w:val="1F497D"/>
                <w:sz w:val="22"/>
                <w:szCs w:val="22"/>
              </w:rPr>
              <w:t>CURSO 2025-2026</w:t>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spacing w:before="0" w:after="200"/>
              <w:rPr>
                <w:rFonts w:ascii="Cambria" w:hAnsi="Cambria"/>
                <w:sz w:val="22"/>
                <w:szCs w:val="22"/>
                <w:u w:val="single"/>
              </w:rPr>
            </w:pPr>
            <w:r>
              <w:rPr>
                <w:rFonts w:ascii="Cambria" w:hAnsi="Cambria"/>
                <w:sz w:val="22"/>
                <w:szCs w:val="22"/>
                <w:u w:val="single"/>
              </w:rPr>
            </w:r>
          </w:p>
        </w:tc>
      </w:tr>
    </w:tbl>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rPr>
          <w:rFonts w:ascii="Cambria" w:hAnsi="Cambria"/>
          <w:b/>
          <w:b/>
          <w:sz w:val="22"/>
          <w:szCs w:val="22"/>
          <w:u w:val="single"/>
        </w:rPr>
      </w:pPr>
      <w:r>
        <w:rPr>
          <w:rFonts w:ascii="Cambria" w:hAnsi="Cambria"/>
          <w:b/>
          <w:sz w:val="22"/>
          <w:szCs w:val="22"/>
          <w:u w:val="single"/>
        </w:rPr>
      </w:r>
    </w:p>
    <w:p>
      <w:pPr>
        <w:pStyle w:val="Normal"/>
        <w:jc w:val="both"/>
        <w:rPr/>
      </w:pPr>
      <w:r>
        <w:br w:type="column"/>
      </w:r>
      <w:r>
        <w:rPr>
          <w:rFonts w:eastAsia="Cambria" w:cs="Cambria"/>
          <w:b/>
          <w:sz w:val="22"/>
          <w:szCs w:val="22"/>
          <w:u w:val="single"/>
        </w:rPr>
        <w:t>ÍNDICE</w:t>
      </w:r>
    </w:p>
    <w:p>
      <w:pPr>
        <w:pStyle w:val="Normal"/>
        <w:jc w:val="both"/>
        <w:rPr/>
      </w:pPr>
      <w:r>
        <w:rPr>
          <w:rFonts w:eastAsia="Cambria" w:cs="Cambria"/>
          <w:sz w:val="22"/>
          <w:szCs w:val="22"/>
        </w:rPr>
        <w:t>INTRODUCCIÓN</w:t>
      </w:r>
    </w:p>
    <w:p>
      <w:pPr>
        <w:pStyle w:val="Normal"/>
        <w:jc w:val="both"/>
        <w:rPr/>
      </w:pPr>
      <w:r>
        <w:rPr>
          <w:rFonts w:eastAsia="Cambria" w:cs="Cambria"/>
          <w:sz w:val="22"/>
          <w:szCs w:val="22"/>
        </w:rPr>
        <w:t>1. COMPETENCIAS ESPECÍFICAS Y CRITERIOS DE EVALUACIÓN ASOCIADOS A ELLAS</w:t>
      </w:r>
    </w:p>
    <w:p>
      <w:pPr>
        <w:pStyle w:val="Normal"/>
        <w:jc w:val="both"/>
        <w:rPr/>
      </w:pPr>
      <w:r>
        <w:rPr>
          <w:rFonts w:eastAsia="Cambria" w:cs="Cambria"/>
          <w:sz w:val="22"/>
          <w:szCs w:val="22"/>
        </w:rPr>
        <w:t>2. CONCRECIÓN, AGRUPAMIENTO Y SECUENCIACIÓN DE LOS SABERES BÁSICOS Y DE LOS CRITERIOS DE EVALUACIÓN EN UNIDADES DIDÁCTICAS</w:t>
      </w:r>
    </w:p>
    <w:p>
      <w:pPr>
        <w:pStyle w:val="Normal"/>
        <w:jc w:val="both"/>
        <w:rPr/>
      </w:pPr>
      <w:r>
        <w:rPr>
          <w:rFonts w:eastAsia="Cambria" w:cs="Cambria"/>
          <w:sz w:val="22"/>
          <w:szCs w:val="22"/>
        </w:rPr>
        <w:t>3. PROCEDIMIENTOS E INSTRUMENTOS DE EVALUACIÓN</w:t>
      </w:r>
    </w:p>
    <w:p>
      <w:pPr>
        <w:pStyle w:val="Normal"/>
        <w:jc w:val="both"/>
        <w:rPr/>
      </w:pPr>
      <w:r>
        <w:rPr>
          <w:rFonts w:eastAsia="Cambria" w:cs="Cambria"/>
          <w:sz w:val="22"/>
          <w:szCs w:val="22"/>
        </w:rPr>
        <w:t>4. CRITERIOS DE CALIFICACIÓN</w:t>
      </w:r>
    </w:p>
    <w:p>
      <w:pPr>
        <w:pStyle w:val="Normal"/>
        <w:jc w:val="both"/>
        <w:rPr/>
      </w:pPr>
      <w:r>
        <w:rPr>
          <w:rFonts w:eastAsia="Cambria" w:cs="Cambria"/>
          <w:sz w:val="22"/>
          <w:szCs w:val="22"/>
        </w:rPr>
        <w:t>5. EVALUACIÓN INICIAL</w:t>
      </w:r>
    </w:p>
    <w:p>
      <w:pPr>
        <w:pStyle w:val="Normal"/>
        <w:jc w:val="both"/>
        <w:rPr/>
      </w:pPr>
      <w:r>
        <w:rPr>
          <w:rFonts w:eastAsia="Cambria" w:cs="Cambria" w:ascii="Cambria" w:hAnsi="Cambria"/>
          <w:sz w:val="22"/>
          <w:szCs w:val="22"/>
        </w:rPr>
        <w:t xml:space="preserve">6. EVALUACIÓN EXTRAORDINARIA </w:t>
      </w:r>
    </w:p>
    <w:p>
      <w:pPr>
        <w:pStyle w:val="Normal"/>
        <w:jc w:val="both"/>
        <w:rPr/>
      </w:pPr>
      <w:r>
        <w:rPr>
          <w:rFonts w:eastAsia="Cambria" w:cs="Cambria"/>
          <w:sz w:val="22"/>
          <w:szCs w:val="22"/>
        </w:rPr>
        <w:t>7. ACTUACIONES GENERALES DE ATENCIÓN A LAS DIFERENCIAS INDIVIDUALES</w:t>
      </w:r>
    </w:p>
    <w:p>
      <w:pPr>
        <w:pStyle w:val="Normal"/>
        <w:jc w:val="both"/>
        <w:rPr/>
      </w:pPr>
      <w:r>
        <w:rPr>
          <w:rFonts w:eastAsia="Cambria" w:cs="Cambria"/>
          <w:sz w:val="22"/>
          <w:szCs w:val="22"/>
        </w:rPr>
        <w:t xml:space="preserve">8. PLAN DE RECUPERACIÓN DE MATERIAS PENDIENTES </w:t>
      </w:r>
    </w:p>
    <w:p>
      <w:pPr>
        <w:pStyle w:val="Normal"/>
        <w:jc w:val="both"/>
        <w:rPr/>
      </w:pPr>
      <w:r>
        <w:rPr>
          <w:rFonts w:eastAsia="Cambria" w:cs="Cambria"/>
          <w:sz w:val="22"/>
          <w:szCs w:val="22"/>
        </w:rPr>
        <w:t>9. ESTRATEGIAS DIDÁCTICAS Y METODOLÓGICAS</w:t>
      </w:r>
    </w:p>
    <w:p>
      <w:pPr>
        <w:pStyle w:val="Normal"/>
        <w:jc w:val="both"/>
        <w:rPr/>
      </w:pPr>
      <w:r>
        <w:rPr>
          <w:rFonts w:eastAsia="Cambria" w:cs="Cambria"/>
          <w:sz w:val="22"/>
          <w:szCs w:val="22"/>
        </w:rPr>
        <w:t>10. CONCRECIÓN DEL PLAN DE IMPLEMENTACIÓN DE ELEMENTOS TRANSVERSALES</w:t>
      </w:r>
    </w:p>
    <w:p>
      <w:pPr>
        <w:pStyle w:val="Normal"/>
        <w:jc w:val="both"/>
        <w:rPr/>
      </w:pPr>
      <w:r>
        <w:rPr>
          <w:rFonts w:eastAsia="Cambria" w:cs="Cambria"/>
          <w:sz w:val="22"/>
          <w:szCs w:val="22"/>
        </w:rPr>
        <w:t>11. CONCRECIÓN DEL PLAN DE UTILIZACIÓN DE LAS TECNOLOGÍAS DIGITALES</w:t>
      </w:r>
    </w:p>
    <w:p>
      <w:pPr>
        <w:pStyle w:val="Normal"/>
        <w:jc w:val="both"/>
        <w:rPr/>
      </w:pPr>
      <w:r>
        <w:rPr>
          <w:rFonts w:eastAsia="Cambria" w:cs="Cambria"/>
          <w:sz w:val="22"/>
          <w:szCs w:val="22"/>
        </w:rPr>
        <w:t xml:space="preserve">12.CONCRECIÓN DEL PLAN LECTOR </w:t>
      </w:r>
    </w:p>
    <w:p>
      <w:pPr>
        <w:pStyle w:val="Normal"/>
        <w:jc w:val="both"/>
        <w:rPr/>
      </w:pPr>
      <w:r>
        <w:rPr>
          <w:rFonts w:eastAsia="Cambria" w:cs="Cambria"/>
          <w:sz w:val="22"/>
          <w:szCs w:val="22"/>
        </w:rPr>
        <w:t xml:space="preserve">13. MECANISMOS DE REVISIÓN, EVALUACIÓN Y MODIFICACIÓN DE LAS </w:t>
      </w:r>
      <w:bookmarkStart w:id="22" w:name="_GoBack2"/>
      <w:r>
        <w:rPr>
          <w:rFonts w:eastAsia="Cambria" w:cs="Cambria"/>
          <w:sz w:val="22"/>
          <w:szCs w:val="22"/>
        </w:rPr>
        <w:t>PROGRAMACIONES DIDÁCTICAS</w:t>
      </w:r>
      <w:bookmarkEnd w:id="22"/>
    </w:p>
    <w:p>
      <w:pPr>
        <w:pStyle w:val="Normal"/>
        <w:jc w:val="both"/>
        <w:rPr/>
      </w:pPr>
      <w:r>
        <w:rPr>
          <w:rFonts w:eastAsia="Cambria" w:cs="Cambria"/>
          <w:sz w:val="22"/>
          <w:szCs w:val="22"/>
        </w:rPr>
        <w:t>14. ACTIVIDADES COMPLEMENTARIAS Y EXTRAESCOLARES</w:t>
      </w:r>
    </w:p>
    <w:p>
      <w:pPr>
        <w:pStyle w:val="Normal"/>
        <w:jc w:val="both"/>
        <w:rPr/>
      </w:pPr>
      <w:r>
        <w:rPr>
          <w:rFonts w:eastAsia="Cambria" w:cs="Cambria"/>
          <w:sz w:val="22"/>
          <w:szCs w:val="22"/>
        </w:rPr>
        <w:t>15. FORMA EN LA QUE SE DAN A CONOCER LOS ASPECTOS RELEVANTES DE ESTA PROGRAMACIÓN AL ALUMNADO Y LAS FAMILIAS</w:t>
      </w:r>
    </w:p>
    <w:p>
      <w:pPr>
        <w:pStyle w:val="Normal"/>
        <w:jc w:val="both"/>
        <w:rPr/>
      </w:pPr>
      <w:r>
        <w:rPr>
          <w:rFonts w:eastAsia="Cambria" w:cs="Cambria"/>
          <w:sz w:val="22"/>
          <w:szCs w:val="22"/>
        </w:rPr>
        <w:t>15. OTRAS CONSIDERACIONES</w:t>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cs="Cambria"/>
          <w:b/>
          <w:sz w:val="22"/>
          <w:szCs w:val="22"/>
          <w:u w:val="single"/>
        </w:rPr>
        <w:t>INTRODUCCIÓN</w:t>
      </w:r>
    </w:p>
    <w:p>
      <w:pPr>
        <w:pStyle w:val="Normal"/>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cs="Cambria"/>
          <w:sz w:val="22"/>
          <w:szCs w:val="22"/>
        </w:rPr>
        <w:t>La normativa básica para la elaboración de esta programación es:</w:t>
      </w:r>
    </w:p>
    <w:p>
      <w:pPr>
        <w:pStyle w:val="Normal"/>
        <w:numPr>
          <w:ilvl w:val="0"/>
          <w:numId w:val="1"/>
        </w:numPr>
        <w:jc w:val="both"/>
        <w:rPr/>
      </w:pPr>
      <w:r>
        <w:rPr>
          <w:rFonts w:eastAsia="Cambria" w:cs="Cambria"/>
          <w:i/>
          <w:sz w:val="22"/>
          <w:szCs w:val="22"/>
        </w:rPr>
        <w:t>Orden ECD/1173/2022, de 3 de agosto, por la que se aprueban el currículo y las características de la evaluación de Bachillerato y se autoriza su aplicación en los centros docentes de la Comunidad Autónoma de Aragón.</w:t>
      </w:r>
    </w:p>
    <w:p>
      <w:pPr>
        <w:pStyle w:val="Normal"/>
        <w:spacing w:lineRule="auto" w:line="240"/>
        <w:jc w:val="both"/>
        <w:rPr>
          <w:rFonts w:ascii="Calibri" w:hAnsi="Calibri" w:eastAsia="Cambria" w:cs="Cambria"/>
          <w:i/>
          <w:i/>
          <w:sz w:val="22"/>
          <w:szCs w:val="22"/>
        </w:rPr>
      </w:pPr>
      <w:r>
        <w:rPr>
          <w:rFonts w:eastAsia="Cambria" w:cs="Cambria"/>
          <w:i/>
          <w:sz w:val="22"/>
          <w:szCs w:val="22"/>
        </w:rPr>
      </w:r>
    </w:p>
    <w:p>
      <w:pPr>
        <w:pStyle w:val="Normal"/>
        <w:jc w:val="both"/>
        <w:rPr/>
      </w:pPr>
      <w:r>
        <w:rPr>
          <w:rFonts w:eastAsia="Cambria" w:cs="Cambria"/>
          <w:b/>
          <w:sz w:val="22"/>
          <w:szCs w:val="22"/>
          <w:u w:val="single"/>
        </w:rPr>
        <w:t>1. COMPETENCIAS ESPECÍFICAS Y CRITERIOS DE EVALUACIÓN ASOCIADOS A ELLAS</w:t>
      </w:r>
    </w:p>
    <w:p>
      <w:pPr>
        <w:pStyle w:val="Ttulo1"/>
        <w:rPr/>
      </w:pPr>
      <w:r>
        <w:rPr>
          <w:sz w:val="22"/>
          <w:szCs w:val="22"/>
        </w:rPr>
        <w:t>I. Competencias específicas</w:t>
      </w:r>
    </w:p>
    <w:p>
      <w:pPr>
        <w:pStyle w:val="Ttulo2"/>
        <w:rPr/>
      </w:pPr>
      <w:r>
        <w:rPr>
          <w:sz w:val="22"/>
          <w:szCs w:val="22"/>
        </w:rPr>
        <w:t>Competencia específica de la materia Química 1:</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pPr>
      <w:r>
        <w:rPr>
          <w:b/>
          <w:sz w:val="22"/>
          <w:szCs w:val="22"/>
        </w:rPr>
        <w:t xml:space="preserve">CE.Q.1. </w:t>
      </w:r>
      <w:r>
        <w:rPr>
          <w:sz w:val="22"/>
          <w:szCs w:val="22"/>
        </w:rPr>
        <w:t>Comprender, describir y aplicar los fundamentos de los procesos químicos más importantes, atendiendo a su base experimental y a los fenómenos que describen, para reconocer el papel relevante de la Química en el desarrollo de la sociedad.</w:t>
      </w:r>
    </w:p>
    <w:p>
      <w:pPr>
        <w:pStyle w:val="Ttulo3"/>
        <w:rPr/>
      </w:pPr>
      <w:r>
        <w:rPr>
          <w:sz w:val="22"/>
          <w:szCs w:val="22"/>
        </w:rPr>
        <w:t>Descripción</w:t>
      </w:r>
    </w:p>
    <w:p>
      <w:pPr>
        <w:pStyle w:val="Normal"/>
        <w:rPr/>
      </w:pPr>
      <w:r>
        <w:rPr>
          <w:sz w:val="22"/>
          <w:szCs w:val="22"/>
        </w:rPr>
        <w:t>La Química, como disciplina de las ciencias naturales, trata de descubrir a través de los procedimientos científicos cuáles son los porqués últimos de los fenómenos que ocurren en la naturaleza y de darles una explicación plausible a partir de las leyes científicas que los rigen. Además, esta disciplina tiene una importante base experimental que la convierte en una ciencia versátil y de especial relevancia para la formación clave del alumnado que vaya a optar por continuar su formación en itinerarios científicos, tecnológicos o sanitarios.</w:t>
      </w:r>
    </w:p>
    <w:p>
      <w:pPr>
        <w:pStyle w:val="Normal"/>
        <w:rPr/>
      </w:pPr>
      <w:r>
        <w:rPr>
          <w:sz w:val="22"/>
          <w:szCs w:val="22"/>
        </w:rPr>
        <w:t>Con el desarrollo de esta competencia específica se pretende que el alumnado comprenda también que la Química es una ciencia viva, cuyas repercusiones no solo han sido importantes en el pasado, sino que también suponen una importante contribución en la mejora de la sociedad presente y futura. A través de las distintas ramas de la Química, el alumnado será capaz de descubrir cuáles son sus aportaciones más relevantes en la tecnología, la economía, la sociedad y el medioambiente.</w:t>
      </w:r>
    </w:p>
    <w:p>
      <w:pPr>
        <w:pStyle w:val="Ttulo3"/>
        <w:rPr/>
      </w:pPr>
      <w:r>
        <w:rPr>
          <w:sz w:val="22"/>
          <w:szCs w:val="22"/>
        </w:rPr>
        <w:t>Vinculación con otras competencias</w:t>
      </w:r>
    </w:p>
    <w:p>
      <w:pPr>
        <w:pStyle w:val="NormalWeb"/>
        <w:spacing w:beforeAutospacing="0" w:before="0" w:afterAutospacing="0" w:after="160"/>
        <w:jc w:val="both"/>
        <w:rPr/>
      </w:pPr>
      <w:r>
        <w:rPr>
          <w:rFonts w:eastAsia="Calibri" w:cs="" w:ascii="Calibri" w:hAnsi="Calibri" w:cstheme="minorBidi" w:eastAsiaTheme="minorHAnsi"/>
          <w:sz w:val="22"/>
          <w:szCs w:val="22"/>
          <w:lang w:eastAsia="en-US"/>
        </w:rPr>
        <w:t>Esta competencia, como la CE.Q.2., se enmarca en la puesta en valor de la Química como Ciencia que contribuye a la mejora de la sociedad y, concretamente a la mejora del medioambiente dando soluciones fundamentadas en los principios básicos de la Química. Esta competencia no se puede desarrollar en toda su amplitud sin tener en cuenta la CE.Q.5. que sitúa al trabajo en equipo y el uso del razonamiento científico como herramientas clave para lograr el progreso científico.</w:t>
      </w:r>
    </w:p>
    <w:p>
      <w:pPr>
        <w:pStyle w:val="NormalWeb"/>
        <w:spacing w:beforeAutospacing="0" w:before="0" w:afterAutospacing="0" w:after="160"/>
        <w:jc w:val="both"/>
        <w:rPr/>
      </w:pPr>
      <w:r>
        <w:rPr>
          <w:rFonts w:eastAsia="Calibri" w:cs="" w:ascii="Calibri" w:hAnsi="Calibri" w:cstheme="minorBidi" w:eastAsiaTheme="minorHAnsi"/>
          <w:sz w:val="22"/>
          <w:szCs w:val="22"/>
          <w:lang w:eastAsia="en-US"/>
        </w:rPr>
        <w:t xml:space="preserve">La materia de Química colabora con el resto de materias al conocimiento del entorno y en este sentido, esta competencia se relaciona con muchas otras competencias específicas de otras materias. Su vinculación es más estrecha con competencias específicas de la materia de Biología, como la CE.B.4. que también requiere el tratamiento correcto de la información para explicar fenómenos relacionados con las ciencias. También se relaciona con la competencia CE.F.1, de la materia de Física ya que son interdependientes al utilizar las teorías, principios y leyes que rigen la ciencia para contribuir al desarrollo de la tecnología, la sociedad y la sostenibilidad ambiental.  </w:t>
      </w:r>
    </w:p>
    <w:p>
      <w:pPr>
        <w:pStyle w:val="Ttulo3"/>
        <w:rPr/>
      </w:pPr>
      <w:r>
        <w:rPr>
          <w:sz w:val="22"/>
          <w:szCs w:val="22"/>
        </w:rPr>
        <w:t>Vinculación con los descriptores de las competencias clave</w:t>
      </w:r>
    </w:p>
    <w:p>
      <w:pPr>
        <w:pStyle w:val="Normal"/>
        <w:rPr/>
      </w:pPr>
      <w:r>
        <w:rPr>
          <w:sz w:val="22"/>
          <w:szCs w:val="22"/>
        </w:rPr>
        <w:t>Esta competencia específica se conecta con los siguientes descriptores: STEM1, STEM2, STEM3, CE1.</w:t>
      </w:r>
    </w:p>
    <w:p>
      <w:pPr>
        <w:pStyle w:val="Ttulo2"/>
        <w:rPr/>
      </w:pPr>
      <w:r>
        <w:rPr>
          <w:sz w:val="22"/>
          <w:szCs w:val="22"/>
        </w:rPr>
        <w:t>Competencia específica de la materia Química 2:</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pPr>
      <w:r>
        <w:rPr>
          <w:b/>
          <w:sz w:val="22"/>
          <w:szCs w:val="22"/>
        </w:rPr>
        <w:t xml:space="preserve">CE.Q.2. </w:t>
      </w:r>
      <w:r>
        <w:rPr>
          <w:sz w:val="22"/>
          <w:szCs w:val="22"/>
        </w:rPr>
        <w:t>Adoptar los modelos y leyes de la Química aceptados como base de estudio de las propiedades de los sistemas materiales, para inferir soluciones generales a los problemas cotidianos relacionados con las aplicaciones prácticas de la Química y sus repercusiones en el medioambiente.</w:t>
      </w:r>
    </w:p>
    <w:p>
      <w:pPr>
        <w:pStyle w:val="Ttulo3"/>
        <w:rPr/>
      </w:pPr>
      <w:r>
        <w:rPr>
          <w:sz w:val="22"/>
          <w:szCs w:val="22"/>
        </w:rPr>
        <w:t>Descripción</w:t>
      </w:r>
    </w:p>
    <w:p>
      <w:pPr>
        <w:pStyle w:val="Normal"/>
        <w:rPr/>
      </w:pPr>
      <w:r>
        <w:rPr>
          <w:sz w:val="22"/>
          <w:szCs w:val="22"/>
        </w:rPr>
        <w:t>La ciencia Química constituye un cuerpo de conocimiento racional, coherente y completo cuyas leyes y teorías se fundamentan en principios básicos y observaciones experimentales. Sería insuficiente, sin embargo, que el alumnado aprendiese Química solo en este aspecto. Es necesario demostrar que el modelo coherente de la naturaleza que se presenta a través de esta ciencia es válido a través del contacto con situaciones cotidianas y con las preguntas que surgen de la observación de la realidad. Así, el alumnado que estudie esta disciplina debe ser capaz de identificar los principios básicos de la Química que justifican que los sistemas materiales tengan determinadas propiedades y aplicaciones en base a su composición y que existe una base fundamental de carácter químico en el fondo de cada una de las cuestiones medioambientales actuales y, sobre todo, en las ideas y métodos para solucionar los problemas relacionados con ellas.</w:t>
      </w:r>
    </w:p>
    <w:p>
      <w:pPr>
        <w:pStyle w:val="Normal"/>
        <w:rPr/>
      </w:pPr>
      <w:r>
        <w:rPr>
          <w:sz w:val="22"/>
          <w:szCs w:val="22"/>
        </w:rPr>
        <w:t>Solo desde este conocimiento profundo de la base Química de la naturaleza de la materia y de los cambios que le afectan se podrán encontrar respuestas y soluciones efectivas a cuestiones reales y prácticas, tal y como se presentan a través de nuestra percepción o se formulan en los medios de comunicación.</w:t>
      </w:r>
    </w:p>
    <w:p>
      <w:pPr>
        <w:pStyle w:val="Ttulo3"/>
        <w:rPr/>
      </w:pPr>
      <w:r>
        <w:rPr>
          <w:sz w:val="22"/>
          <w:szCs w:val="22"/>
        </w:rPr>
        <w:t>Vinculación con otras competencias</w:t>
      </w:r>
    </w:p>
    <w:p>
      <w:pPr>
        <w:pStyle w:val="Normal"/>
        <w:rPr/>
      </w:pPr>
      <w:r>
        <w:rPr>
          <w:sz w:val="22"/>
          <w:szCs w:val="22"/>
        </w:rPr>
        <w:t>Esta competencia se relaciona con la CE.Q.1. al considerarse necesario el reconocimiento de la Química como ciencia que supone una importante contribución en la mejora de la sociedad actual y la del futuro. Es importante señalar su relación con la CE.Q.5. ya que, para encontrar soluciones a problemas cotidianos relacionados con la Química, es imprescindible hacerlo con una formación en técnicas de trabajo propias de las ciencias experimentales y un dominio del razonamiento lógico-matemático.</w:t>
      </w:r>
    </w:p>
    <w:p>
      <w:pPr>
        <w:pStyle w:val="Normal"/>
        <w:rPr/>
      </w:pPr>
      <w:r>
        <w:rPr>
          <w:sz w:val="22"/>
          <w:szCs w:val="22"/>
        </w:rPr>
        <w:t>Otras materias también contribuyen al desarrollo de esta competencia, como Biología a través de la CE-B.4. en la que se plantea que, ante el planteamiento de hipótesis, como la interpretación de datos y resultados, o el diseño experimental requieren aplicar el pensamiento lógico-formal. Por otra parte, esta competencia tiene una relación directa con la CE.F.2. de la materia de Física, en la que se sugiere la adopción de los modelos, teorías y leyes aceptados como base de estudio de los sistemas naturales para inferir soluciones generales a problemas cotidianos.</w:t>
      </w:r>
    </w:p>
    <w:p>
      <w:pPr>
        <w:pStyle w:val="Ttulo3"/>
        <w:rPr/>
      </w:pPr>
      <w:r>
        <w:rPr>
          <w:sz w:val="22"/>
          <w:szCs w:val="22"/>
        </w:rPr>
        <w:t>Vinculación con los descriptores de las competencias clave</w:t>
      </w:r>
    </w:p>
    <w:p>
      <w:pPr>
        <w:pStyle w:val="Normal"/>
        <w:rPr/>
      </w:pPr>
      <w:r>
        <w:rPr>
          <w:sz w:val="22"/>
          <w:szCs w:val="22"/>
        </w:rPr>
        <w:t>Esta competencia específica se conecta con los siguientes descriptores: CCL2, STEM2, STEM5, CD5, CE1.</w:t>
      </w:r>
    </w:p>
    <w:p>
      <w:pPr>
        <w:pStyle w:val="Ttulo2"/>
        <w:rPr/>
      </w:pPr>
      <w:r>
        <w:rPr>
          <w:sz w:val="22"/>
          <w:szCs w:val="22"/>
        </w:rPr>
        <w:t>Competencia específica de la materia Química 3:</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pPr>
      <w:r>
        <w:rPr>
          <w:b/>
          <w:sz w:val="22"/>
          <w:szCs w:val="22"/>
        </w:rPr>
        <w:t xml:space="preserve">CE.Q.3. </w:t>
      </w:r>
      <w:r>
        <w:rPr>
          <w:sz w:val="22"/>
          <w:szCs w:val="22"/>
        </w:rPr>
        <w:t>Utilizar con corrección los códigos del lenguaje químico (nomenclatura química, unidades, ecuaciones, etc.), aplicando sus reglas específicas, para emplearlos como base de una comunicación adecuada entre diferentes comunidades científicas y herramienta fundamental en la investigación de esta ciencia.</w:t>
      </w:r>
    </w:p>
    <w:p>
      <w:pPr>
        <w:pStyle w:val="Ttulo3"/>
        <w:rPr/>
      </w:pPr>
      <w:r>
        <w:rPr>
          <w:sz w:val="22"/>
          <w:szCs w:val="22"/>
        </w:rPr>
        <w:t>Descripción</w:t>
      </w:r>
    </w:p>
    <w:p>
      <w:pPr>
        <w:pStyle w:val="Normal"/>
        <w:rPr/>
      </w:pPr>
      <w:r>
        <w:rPr>
          <w:sz w:val="22"/>
          <w:szCs w:val="22"/>
        </w:rPr>
        <w:t>La Química utiliza lenguajes cuyos códigos son muy específicos y que es necesario conocer para trabajar en esta disciplina y establecer relaciones de comunicación efectiva entre los miembros de la comunidad científica. En un sentido amplio, esta competencia no se enfoca exclusivamente en utilizar de forma correcta las normas de la IUPAC para nombrar y formular, sino que también hace alusión a todas las herramientas que una situación relacionada con la Química pueda requerir, como las herramientas matemáticas que se refieren a ecuaciones y operaciones, o los sistemas de unidades y las conversiones adecuadas dentro de ellos, por ejemplo.</w:t>
      </w:r>
    </w:p>
    <w:p>
      <w:pPr>
        <w:pStyle w:val="Normal"/>
        <w:rPr/>
      </w:pPr>
      <w:r>
        <w:rPr>
          <w:sz w:val="22"/>
          <w:szCs w:val="22"/>
        </w:rPr>
        <w:t>El correcto manejo de datos e información relacionados con la Química, sea cual sea el formato en que sean proporcionados, es fundamental para la interpretación y resolución de problemas, la elaboración correcta de informes científicos e investigaciones, la ejecución de prácticas de laboratorio, o la resolución de ejercicios, por ejemplo. Debido a ello, esta competencia específica supone un apoyo muy importante para la ciencia en general, y para la Química en particular.</w:t>
      </w:r>
    </w:p>
    <w:p>
      <w:pPr>
        <w:pStyle w:val="Ttulo3"/>
        <w:rPr/>
      </w:pPr>
      <w:r>
        <w:rPr>
          <w:sz w:val="22"/>
          <w:szCs w:val="22"/>
        </w:rPr>
        <w:t>Vinculación con otras competencias</w:t>
      </w:r>
    </w:p>
    <w:p>
      <w:pPr>
        <w:pStyle w:val="Normal"/>
        <w:rPr/>
      </w:pPr>
      <w:r>
        <w:rPr>
          <w:sz w:val="22"/>
          <w:szCs w:val="22"/>
        </w:rPr>
        <w:t>Los conocimientos, destrezas y actitudes implícitos en esta competencia tienen conexión con otras competencias específicas de la materia de Química, como CE.Q.1. y CE.Q.5. El uso correcto de las unidades de medida, así como del resto de elementos propios del lenguaje científico, son fundamentales para conseguir el desarrollo de estas competencias al constituir la base para la elaboración de preguntas relevantes y a partir de ellas colaborar en los procesos de investigación utilizando un lenguaje común que permita una comunicación fluida y eficaz.</w:t>
      </w:r>
    </w:p>
    <w:p>
      <w:pPr>
        <w:pStyle w:val="Normal"/>
        <w:rPr/>
      </w:pPr>
      <w:r>
        <w:rPr>
          <w:sz w:val="22"/>
          <w:szCs w:val="22"/>
        </w:rPr>
        <w:t xml:space="preserve">De la misma forma, la competencia específica CE.F.3. de la materia de Física, también valora la utilización de los códigos del lenguaje científico para establecer una adecuada comunicación entre comunidades científicas y como herramienta fundamental para trabajar en investigación. Así mismo, en la materia de Biología, al adquirir la competencia específica CE.B.6., el alumnado también será capaz de analizar, evaluar y sintetizar datos de carácter científico para la obtención de conclusiones lógicas que contribuirán a conseguir procesos de comunicación eficaces. </w:t>
      </w:r>
    </w:p>
    <w:p>
      <w:pPr>
        <w:pStyle w:val="Ttulo3"/>
        <w:rPr/>
      </w:pPr>
      <w:r>
        <w:rPr>
          <w:sz w:val="22"/>
          <w:szCs w:val="22"/>
        </w:rPr>
        <w:t>Vinculación con los descriptores de las competencias clave</w:t>
      </w:r>
    </w:p>
    <w:p>
      <w:pPr>
        <w:pStyle w:val="Normal"/>
        <w:rPr/>
      </w:pPr>
      <w:r>
        <w:rPr>
          <w:sz w:val="22"/>
          <w:szCs w:val="22"/>
        </w:rPr>
        <w:t>Esta competencia específica se conecta con los siguientes descriptores: STEM4, CCL1, CCL5, CPSAA5, CE3.</w:t>
      </w:r>
    </w:p>
    <w:p>
      <w:pPr>
        <w:pStyle w:val="Ttulo2"/>
        <w:rPr/>
      </w:pPr>
      <w:r>
        <w:rPr>
          <w:sz w:val="22"/>
          <w:szCs w:val="22"/>
        </w:rPr>
        <w:t>Competencia específica de la materia Química 4:</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pPr>
      <w:r>
        <w:rPr>
          <w:b/>
          <w:sz w:val="22"/>
          <w:szCs w:val="22"/>
        </w:rPr>
        <w:t xml:space="preserve">CE.Q.4. </w:t>
      </w:r>
      <w:r>
        <w:rPr>
          <w:sz w:val="22"/>
          <w:szCs w:val="22"/>
        </w:rPr>
        <w:t>Reconocer la importancia del uso responsable de los productos y procesos químicos, elaborando argumentos informados sobre la influencia positiva que la Química tiene sobre la sociedad actual, para contribuir a superar las connotaciones negativas que en multitud de ocasiones se atribuyen al término “químico”.</w:t>
      </w:r>
    </w:p>
    <w:p>
      <w:pPr>
        <w:pStyle w:val="Ttulo3"/>
        <w:rPr/>
      </w:pPr>
      <w:r>
        <w:rPr>
          <w:sz w:val="22"/>
          <w:szCs w:val="22"/>
        </w:rPr>
        <w:t>Descripción</w:t>
      </w:r>
    </w:p>
    <w:p>
      <w:pPr>
        <w:pStyle w:val="Normal"/>
        <w:rPr/>
      </w:pPr>
      <w:r>
        <w:rPr>
          <w:sz w:val="22"/>
          <w:szCs w:val="22"/>
        </w:rPr>
        <w:t>Existe la idea generalizada en la sociedad, quizás influida por los medios de comunicación –especialmente en los relacionados con la publicidad de ciertos productos– de que los productos químicos, y la Química en general, son perjudiciales para la salud y el medioambiente. Esta creencia se sustenta, en la mayoría de las ocasiones, en la falta de información y de alfabetización científica de la población. El alumnado que estudia Química debe ser consciente de que los principios fundamentales que explican el funcionamiento del universo tienen</w:t>
      </w:r>
    </w:p>
    <w:p>
      <w:pPr>
        <w:pStyle w:val="Normal"/>
        <w:rPr/>
      </w:pPr>
      <w:r>
        <w:rPr>
          <w:sz w:val="22"/>
          <w:szCs w:val="22"/>
        </w:rPr>
        <w:t>una base científica, así como ser capaz de explicar que las sustancias y procesos naturales se pueden describir y justificar a partir de los conceptos de esta ciencia.</w:t>
      </w:r>
    </w:p>
    <w:p>
      <w:pPr>
        <w:pStyle w:val="Normal"/>
        <w:rPr/>
      </w:pPr>
      <w:r>
        <w:rPr>
          <w:sz w:val="22"/>
          <w:szCs w:val="22"/>
        </w:rPr>
        <w:t>Además de esto, las ideas aprendidas y practicadas en esta etapa les deben capacitar para argumentar y explicar los beneficios que el progreso de la Química ha tenido sobre el bienestar de la sociedad y que los problemas que a veces conllevan estos avances son causados por el empleo negligente, desinformado, interesado o irresponsable de los productos y procesos que ha generado el desarrollo de la ciencia y la tecnología.</w:t>
      </w:r>
    </w:p>
    <w:p>
      <w:pPr>
        <w:pStyle w:val="Ttulo3"/>
        <w:rPr/>
      </w:pPr>
      <w:r>
        <w:rPr>
          <w:sz w:val="22"/>
          <w:szCs w:val="22"/>
        </w:rPr>
        <w:t>Vinculación con otras competencias</w:t>
      </w:r>
    </w:p>
    <w:p>
      <w:pPr>
        <w:pStyle w:val="Normal"/>
        <w:rPr/>
      </w:pPr>
      <w:r>
        <w:rPr>
          <w:sz w:val="22"/>
          <w:szCs w:val="22"/>
        </w:rPr>
        <w:t>Esta competencia se relaciona con competencias propias de Química como son la CE.Q.2. al crear valor alrededor del concepto de producto y proceso químico siempre sobre la base de los modelos y leyes de la Química para informar a la sociedad de sus efectos positivos. Otra competencia con la que guarda relación es la CE.Q.5, ya que las dos centran su estrategia en valorar a la Química como ciencia al servicio de una sociedad basada en valores éticos y sostenibles.</w:t>
      </w:r>
    </w:p>
    <w:p>
      <w:pPr>
        <w:pStyle w:val="Normal"/>
        <w:rPr/>
      </w:pPr>
      <w:r>
        <w:rPr>
          <w:sz w:val="22"/>
          <w:szCs w:val="22"/>
        </w:rPr>
        <w:t>En cuanto a las competencias específicas relacionadas con otras materias, queda patente el vínculo con la CE.F.6 de la materia Física respecto a la importancia de estas ciencias en sus contribuciones al avance del conocimiento científico. Así mismo también es importante señalar la relación con la CE.B.4. de la materia de Biología en la que se describe la utilización de estrategias adecuadas para la explicación de fenómenos relacionados con las ciencias. </w:t>
      </w:r>
    </w:p>
    <w:p>
      <w:pPr>
        <w:pStyle w:val="Ttulo3"/>
        <w:rPr/>
      </w:pPr>
      <w:r>
        <w:rPr>
          <w:sz w:val="22"/>
          <w:szCs w:val="22"/>
        </w:rPr>
        <w:t>Vinculación con los descriptores de las competencias clave</w:t>
      </w:r>
    </w:p>
    <w:p>
      <w:pPr>
        <w:pStyle w:val="Normal"/>
        <w:rPr/>
      </w:pPr>
      <w:r>
        <w:rPr>
          <w:sz w:val="22"/>
          <w:szCs w:val="22"/>
        </w:rPr>
        <w:t>Esta competencia específica se conecta con los siguientes descriptores: STEM1, STEM5, CPSAA7, CE2.</w:t>
      </w:r>
    </w:p>
    <w:p>
      <w:pPr>
        <w:pStyle w:val="Ttulo2"/>
        <w:rPr/>
      </w:pPr>
      <w:r>
        <w:rPr>
          <w:sz w:val="22"/>
          <w:szCs w:val="22"/>
        </w:rPr>
        <w:t>Competencia específica de la materia Química 5:</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pPr>
      <w:r>
        <w:rPr>
          <w:b/>
          <w:sz w:val="22"/>
          <w:szCs w:val="22"/>
        </w:rPr>
        <w:t xml:space="preserve">CE.Q.5. </w:t>
      </w:r>
      <w:r>
        <w:rPr>
          <w:sz w:val="22"/>
          <w:szCs w:val="22"/>
        </w:rPr>
        <w:t>Aplicar técnicas de trabajo propias de las ciencias experimentales y el razonamiento lógico-matemático en la resolución de problemas de Química y en la interpretación de situaciones relacionadas, valorando la importancia de la cooperación, para poner en valor el papel de la Química en una sociedad basada en valores éticos y sostenibles.</w:t>
      </w:r>
    </w:p>
    <w:p>
      <w:pPr>
        <w:pStyle w:val="Ttulo3"/>
        <w:rPr/>
      </w:pPr>
      <w:r>
        <w:rPr>
          <w:sz w:val="22"/>
          <w:szCs w:val="22"/>
        </w:rPr>
        <w:t>Descripción</w:t>
      </w:r>
    </w:p>
    <w:p>
      <w:pPr>
        <w:pStyle w:val="Normal"/>
        <w:rPr/>
      </w:pPr>
      <w:r>
        <w:rPr>
          <w:sz w:val="22"/>
          <w:szCs w:val="22"/>
        </w:rPr>
        <w:t>En toda actividad científica la colaboración entre diferentes individuos y entidades es fundamental para conseguir el progreso científico. Trabajar en equipo, utilizar con fluidez herramientas digitales y recursos variados y compartir los resultados de los estudios –respetando siempre la atribución de los mismos– repercute en un crecimiento notable de la investigación científica, pues el avance es cooperativo. Que haya una apuesta firme por la mejora de la investigación científica, con hombres y mujeres que deseen dedicarse a ella por vocación, es muy importante para nuestra sociedad actual pues implica la mejora de la calidad de vida, la tecnología y la salud, entre otras.</w:t>
      </w:r>
    </w:p>
    <w:p>
      <w:pPr>
        <w:pStyle w:val="Normal"/>
        <w:rPr/>
      </w:pPr>
      <w:r>
        <w:rPr>
          <w:sz w:val="22"/>
          <w:szCs w:val="22"/>
        </w:rPr>
        <w:t>El desarrollo de esta competencia específica persigue que el alumnado se habitúe desde esta etapa a trabajar de acuerdo a los principios básicos que se ponen en práctica en las ciencias experimentales y desarrolle una afinidad por la ciencia, por las personas que se dedican a ella y por las entidades que la llevan a cabo y que trabajan por vencer las desigualdades de género, orientación, creencia, etc. A su vez, adquirir destrezas en el uso del razonamiento científico les da la capacidad de interpretar y resolver situaciones problemáticas en diferentes contextos de la investigación, el mundo laboral y su realidad cotidiana.</w:t>
      </w:r>
    </w:p>
    <w:p>
      <w:pPr>
        <w:pStyle w:val="Ttulo3"/>
        <w:rPr/>
      </w:pPr>
      <w:r>
        <w:rPr>
          <w:sz w:val="22"/>
          <w:szCs w:val="22"/>
        </w:rPr>
        <w:t>Vinculación con otras competencias</w:t>
      </w:r>
    </w:p>
    <w:p>
      <w:pPr>
        <w:pStyle w:val="Normal"/>
        <w:rPr/>
      </w:pPr>
      <w:r>
        <w:rPr>
          <w:sz w:val="22"/>
          <w:szCs w:val="22"/>
        </w:rPr>
        <w:t>El uso del pensamiento científico para resolver problemas y explicar fenómenos relacionados con esta materia en un ambiente colaborativo de trabajo en equipo son las características que unen a esta competencia con competencias como la CE.Q.1. o la CE.Q.2. prestando un especial interés por la búsqueda de soluciones tecnológicas innovadoras y sostenibles para dar respuesta a necesidades concretas.</w:t>
      </w:r>
    </w:p>
    <w:p>
      <w:pPr>
        <w:pStyle w:val="Normal"/>
        <w:rPr/>
      </w:pPr>
      <w:r>
        <w:rPr>
          <w:sz w:val="22"/>
          <w:szCs w:val="22"/>
        </w:rPr>
        <w:t xml:space="preserve">En relación a otras materias, esta competencia se vincula con la CE.B.4 de Biología, la CE.F.1 de la materia de Física y con la CE.M.1 de la materia de Matemáticas, que priorizan la aplicación del pensamiento científico tomando como base el trabajo experimental y el razonamiento lógico-matemático para confirmar la relevancia de la ciencia en la explicación de fenómenos, en el desarrollo de la tecnología, de la sociedad y de la sostenibilidad ambiental. </w:t>
      </w:r>
    </w:p>
    <w:p>
      <w:pPr>
        <w:pStyle w:val="Ttulo3"/>
        <w:rPr/>
      </w:pPr>
      <w:r>
        <w:rPr>
          <w:sz w:val="22"/>
          <w:szCs w:val="22"/>
        </w:rPr>
        <w:t>Vinculación con los descriptores de las competencias clave</w:t>
      </w:r>
    </w:p>
    <w:p>
      <w:pPr>
        <w:pStyle w:val="Normal"/>
        <w:rPr/>
      </w:pPr>
      <w:r>
        <w:rPr>
          <w:sz w:val="22"/>
          <w:szCs w:val="22"/>
        </w:rPr>
        <w:t>Esta competencia específica se conecta con los siguientes descriptores: STEM1, STEM2, STEM3, CD1, CD3, CD5.</w:t>
      </w:r>
    </w:p>
    <w:p>
      <w:pPr>
        <w:pStyle w:val="Ttulo2"/>
        <w:rPr/>
      </w:pPr>
      <w:r>
        <w:rPr>
          <w:sz w:val="22"/>
          <w:szCs w:val="22"/>
        </w:rPr>
        <w:t>Competencia específica de la materia Química 6:</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pPr>
      <w:r>
        <w:rPr>
          <w:b/>
          <w:sz w:val="22"/>
          <w:szCs w:val="22"/>
        </w:rPr>
        <w:t xml:space="preserve">CE.Q.6. </w:t>
      </w:r>
      <w:r>
        <w:rPr>
          <w:sz w:val="22"/>
          <w:szCs w:val="22"/>
        </w:rPr>
        <w:t>Reconocer y analizar la Química como una materia multidisciplinar y versátil, poniendo de manifiesto las relaciones con otras ciencias y campos de conocimiento, para realizar a través de ella una aproximación holística al conocimiento científico y global.</w:t>
      </w:r>
    </w:p>
    <w:p>
      <w:pPr>
        <w:pStyle w:val="Ttulo3"/>
        <w:rPr/>
      </w:pPr>
      <w:r>
        <w:rPr>
          <w:sz w:val="22"/>
          <w:szCs w:val="22"/>
        </w:rPr>
        <w:t>Descripción</w:t>
      </w:r>
    </w:p>
    <w:p>
      <w:pPr>
        <w:pStyle w:val="Normal"/>
        <w:rPr/>
      </w:pPr>
      <w:r>
        <w:rPr>
          <w:sz w:val="22"/>
          <w:szCs w:val="22"/>
        </w:rPr>
        <w:t>No es posible comprender profundamente los conceptos fundamentales de la Química sin conocer las leyes y teorías de otros campos de la ciencia relacionados con ella. De la misma forma, es necesario aplicar las ideas básicas</w:t>
      </w:r>
    </w:p>
    <w:p>
      <w:pPr>
        <w:pStyle w:val="Normal"/>
        <w:rPr/>
      </w:pPr>
      <w:r>
        <w:rPr>
          <w:sz w:val="22"/>
          <w:szCs w:val="22"/>
        </w:rPr>
        <w:t>de la Química para entender los fundamentos de otras disciplinas científicas. Al igual que la sociedad está profundamente interconectada, la Química no es una disciplina científica aislada, y las contribuciones de la Química al desarrollo de otras ciencias y campos de conocimiento (y viceversa) son imprescindibles para el progreso global de la ciencia, la tecnología y la sociedad.</w:t>
      </w:r>
    </w:p>
    <w:p>
      <w:pPr>
        <w:pStyle w:val="Normal"/>
        <w:rPr/>
      </w:pPr>
      <w:r>
        <w:rPr>
          <w:sz w:val="22"/>
          <w:szCs w:val="22"/>
        </w:rPr>
        <w:t>Para que el alumnado llegue a ser competente desarrollará su aprendizaje a través del estudio experimental y la observación de situaciones en las que se ponga de manifiesto esta relación interdisciplinar, la aplicación de herramientas tecnológicas en la indagación y la experimentación, y el empleo de herramientas matemáticas y el razonamiento lógico en la resolución de problemas propios de la Química. Esta base de carácter interdisciplinar y holístico que es inherente a la Química proporciona a los alumnos y a las alumnas que la estudian unos cimientos adecuados para que puedan continuar estudios en diferentes ramas de conocimiento, y a través de diferentes itinerarios formativos, lo que contribuye de forma eficiente a la formación de personas competentes para la sociedad.</w:t>
      </w:r>
    </w:p>
    <w:p>
      <w:pPr>
        <w:pStyle w:val="Ttulo3"/>
        <w:rPr/>
      </w:pPr>
      <w:r>
        <w:rPr>
          <w:sz w:val="22"/>
          <w:szCs w:val="22"/>
        </w:rPr>
        <w:t>Vinculación con otras competencias</w:t>
      </w:r>
    </w:p>
    <w:p>
      <w:pPr>
        <w:pStyle w:val="Normal"/>
        <w:rPr/>
      </w:pPr>
      <w:r>
        <w:rPr>
          <w:sz w:val="22"/>
          <w:szCs w:val="22"/>
        </w:rPr>
        <w:t>Esta competencia específica se relaciona con otras pertenecientes a la misma materia como la CE.Q.3 en cuanto a la necesidad de usar el lenguaje científico de manera apropiada y adecuada para producir información que permita mantener relaciones con otras ciencias y campos de conocimiento para la consecución de una concepción holística de la ciencia. </w:t>
      </w:r>
    </w:p>
    <w:p>
      <w:pPr>
        <w:pStyle w:val="Normal"/>
        <w:rPr/>
      </w:pPr>
      <w:r>
        <w:rPr>
          <w:sz w:val="22"/>
          <w:szCs w:val="22"/>
        </w:rPr>
        <w:t>En cuanto a la relación con las competencias de otras materias, se relaciona con CE.B.2 de la materia Biología, por la valoración de la aproximación de todo el conocimiento científico para poder explicar de forma más precisa el funcionamiento del medio natural y con la competencia CE.F.5 de la materia Física, por los objetivos que comparten en cuanto a alcanzar un desarrollo de la ciencia, la tecnología y la sociedad dentro de un marco respetuoso con el medio ambiente y con el ser humano. </w:t>
      </w:r>
    </w:p>
    <w:p>
      <w:pPr>
        <w:pStyle w:val="Ttulo3"/>
        <w:rPr/>
      </w:pPr>
      <w:r>
        <w:rPr>
          <w:sz w:val="22"/>
          <w:szCs w:val="22"/>
        </w:rPr>
        <w:t>Vinculación con los descriptores de las competencias clave</w:t>
      </w:r>
    </w:p>
    <w:p>
      <w:pPr>
        <w:pStyle w:val="Normal"/>
        <w:jc w:val="both"/>
        <w:rPr/>
      </w:pPr>
      <w:r>
        <w:rPr>
          <w:sz w:val="22"/>
          <w:szCs w:val="22"/>
        </w:rPr>
        <w:t>Esta competencia específica se conecta con los siguientes descriptores: STEM4, CPSAA6, CC4.</w:t>
      </w:r>
    </w:p>
    <w:p>
      <w:pPr>
        <w:pStyle w:val="Normal"/>
        <w:jc w:val="both"/>
        <w:rPr>
          <w:rFonts w:ascii="Calibri" w:hAnsi="Calibri"/>
          <w:sz w:val="22"/>
          <w:szCs w:val="22"/>
        </w:rPr>
      </w:pPr>
      <w:r>
        <w:rPr>
          <w:sz w:val="22"/>
          <w:szCs w:val="22"/>
        </w:rPr>
      </w:r>
    </w:p>
    <w:p>
      <w:pPr>
        <w:pStyle w:val="Ttulo1"/>
        <w:rPr/>
      </w:pPr>
      <w:r>
        <w:rPr>
          <w:sz w:val="22"/>
          <w:szCs w:val="22"/>
        </w:rPr>
        <w:t>II. Criterios de evaluación</w:t>
      </w:r>
    </w:p>
    <w:p>
      <w:pPr>
        <w:pStyle w:val="Normal"/>
        <w:rPr/>
      </w:pPr>
      <w:r>
        <w:rPr>
          <w:sz w:val="22"/>
          <w:szCs w:val="22"/>
        </w:rPr>
        <w:t>La evaluación debe constituir un proceso constante a lo largo del proceso de enseñanza/aprendizaje, que es necesario planificar. Los contenidos y procedimientos seleccionados para evaluar con finalidades calificadoras y los criterios de evaluación aplicados condicionan totalmente cómo el profesorado enseña y cómo el alumnado estudia y aprende. La evaluación no sólo mide los resultados, sino que condiciona qué se enseña y cómo, y muy especialmente qué aprenden los estudiantes o las estudiantes y cómo lo hacen. </w:t>
      </w:r>
    </w:p>
    <w:p>
      <w:pPr>
        <w:pStyle w:val="Normal"/>
        <w:rPr/>
      </w:pPr>
      <w:r>
        <w:rPr>
          <w:sz w:val="22"/>
          <w:szCs w:val="22"/>
        </w:rPr>
        <w:t>Las actividades de evaluación deberían tener como finalidad principal favorecer el proceso de regulación, es decir, que el alumnado consiga reconocer las diferencias entre lo que se propone y sus propias maneras de pensar o hacer. De esta manera, se ayuda a que los propios alumnos y las propias alumnas puedan detectar sus dificultades y dispongan de estrategias e instrumentos para superarlas. Si se realiza una buena evaluación con funciones reguladoras, se consigue que una proporción mayor de alumnado obtenga buenos resultados en las evaluaciones sumativas. No hay duda de que es difícil y en algunos casos no se consigue, pero la investigación en este campo demuestra que cuando se consigue, los resultados son mucho mejores (Sanmartí, 2007). </w:t>
      </w:r>
    </w:p>
    <w:p>
      <w:pPr>
        <w:pStyle w:val="Normal"/>
        <w:rPr/>
      </w:pPr>
      <w:r>
        <w:rPr>
          <w:sz w:val="22"/>
          <w:szCs w:val="22"/>
        </w:rPr>
        <w:t>Además, evaluar es una condición necesaria para mejorar la enseñanza. La evaluación es la actividad que más impulsa el cambio, ya que posibilita la toma de conciencia de unos hechos y el análisis de sus posibles causas y soluciones. Evaluar la enseñanza comporta (Sanmartí, 2007) por un lado, detectar la adecuación de sus objetivos a una determinada realidad escolar, y la coherencia, con relación a dicho objetivos, de los contenidos, actividades de enseñanza seleccionadas y criterios de evaluación aplicados. Por otro, emitir juicios sobre los aspectos que conviene reforzar y sobre las posibles causas de las incoherencias detectadas. Y finalmente, tomar decisiones sobre cómo innovar para superar las deficiencias observadas.</w:t>
      </w:r>
    </w:p>
    <w:tbl>
      <w:tblPr>
        <w:tblW w:w="10485" w:type="dxa"/>
        <w:jc w:val="left"/>
        <w:tblInd w:w="0" w:type="dxa"/>
        <w:tblCellMar>
          <w:top w:w="0" w:type="dxa"/>
          <w:left w:w="108" w:type="dxa"/>
          <w:bottom w:w="0" w:type="dxa"/>
          <w:right w:w="108" w:type="dxa"/>
        </w:tblCellMar>
        <w:tblLook w:firstRow="1" w:noVBand="1" w:lastRow="0" w:firstColumn="1" w:lastColumn="0" w:noHBand="0" w:val="04a0"/>
      </w:tblPr>
      <w:tblGrid>
        <w:gridCol w:w="10485"/>
      </w:tblGrid>
      <w:tr>
        <w:trPr/>
        <w:tc>
          <w:tcPr>
            <w:tcW w:w="10485" w:type="dxa"/>
            <w:tcBorders/>
            <w:shd w:color="auto" w:fill="92CDDC" w:themeFill="accent5" w:themeFillTint="99" w:val="clear"/>
          </w:tcPr>
          <w:p>
            <w:pPr>
              <w:pStyle w:val="Normal"/>
              <w:widowControl w:val="false"/>
              <w:spacing w:lineRule="auto" w:line="240" w:before="0" w:after="0"/>
              <w:jc w:val="center"/>
              <w:rPr/>
            </w:pPr>
            <w:r>
              <w:rPr>
                <w:b/>
                <w:sz w:val="22"/>
                <w:szCs w:val="22"/>
              </w:rPr>
              <w:t>CE.Q.1</w:t>
            </w:r>
          </w:p>
        </w:tc>
      </w:tr>
      <w:tr>
        <w:trPr/>
        <w:tc>
          <w:tcPr>
            <w:tcW w:w="10485" w:type="dxa"/>
            <w:tcBorders/>
            <w:shd w:color="auto" w:fill="DBE5F1" w:themeFill="accent1" w:themeFillTint="33" w:val="clear"/>
          </w:tcPr>
          <w:p>
            <w:pPr>
              <w:pStyle w:val="Normal"/>
              <w:widowControl w:val="false"/>
              <w:spacing w:lineRule="auto" w:line="240" w:before="0" w:after="0"/>
              <w:rPr/>
            </w:pPr>
            <w:r>
              <w:rPr>
                <w:i/>
                <w:sz w:val="22"/>
                <w:szCs w:val="22"/>
              </w:rPr>
              <w:t>Comprender, describir y aplicar los fundamentos de los procesos químicos más importantes, atendiendo a su base experimental y a los fenómenos que describen, para reconocer el papel relevante de la Química en el desarrollo de la sociedad.</w:t>
            </w:r>
          </w:p>
        </w:tc>
      </w:tr>
      <w:tr>
        <w:trPr/>
        <w:tc>
          <w:tcPr>
            <w:tcW w:w="10485" w:type="dxa"/>
            <w:tcBorders/>
            <w:shd w:color="auto" w:fill="auto" w:val="clear"/>
          </w:tcPr>
          <w:p>
            <w:pPr>
              <w:pStyle w:val="Normal"/>
              <w:widowControl w:val="false"/>
              <w:spacing w:lineRule="auto" w:line="240" w:before="0" w:after="0"/>
              <w:rPr/>
            </w:pPr>
            <w:r>
              <w:rPr>
                <w:sz w:val="22"/>
                <w:szCs w:val="22"/>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
              <w:widowControl w:val="false"/>
              <w:spacing w:lineRule="auto" w:line="240" w:before="0" w:after="0"/>
              <w:rPr/>
            </w:pPr>
            <w:r>
              <w:rPr>
                <w:sz w:val="22"/>
                <w:szCs w:val="22"/>
              </w:rPr>
              <w:t>1.2. Describir los principales procesos químicos que suceden en el entorno y las propiedades de los sistemas materiales a partir de los conocimientos, destrezas y actitudes propios de las distintas disciplinas de la Química.</w:t>
            </w:r>
          </w:p>
          <w:p>
            <w:pPr>
              <w:pStyle w:val="Normal"/>
              <w:widowControl w:val="false"/>
              <w:spacing w:lineRule="auto" w:line="240" w:before="0" w:after="0"/>
              <w:rPr/>
            </w:pPr>
            <w:r>
              <w:rPr>
                <w:sz w:val="22"/>
                <w:szCs w:val="22"/>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tc>
      </w:tr>
      <w:tr>
        <w:trPr/>
        <w:tc>
          <w:tcPr>
            <w:tcW w:w="10485" w:type="dxa"/>
            <w:tcBorders/>
            <w:shd w:color="auto" w:fill="92CDDC" w:themeFill="accent5" w:themeFillTint="99" w:val="clear"/>
          </w:tcPr>
          <w:p>
            <w:pPr>
              <w:pStyle w:val="Normal"/>
              <w:widowControl w:val="false"/>
              <w:spacing w:lineRule="auto" w:line="240" w:before="0" w:after="0"/>
              <w:jc w:val="center"/>
              <w:rPr/>
            </w:pPr>
            <w:r>
              <w:rPr>
                <w:b/>
                <w:sz w:val="22"/>
                <w:szCs w:val="22"/>
              </w:rPr>
              <w:t>CE.Q.2</w:t>
            </w:r>
          </w:p>
        </w:tc>
      </w:tr>
      <w:tr>
        <w:trPr/>
        <w:tc>
          <w:tcPr>
            <w:tcW w:w="10485" w:type="dxa"/>
            <w:tcBorders/>
            <w:shd w:color="auto" w:fill="DBE5F1" w:themeFill="accent1" w:themeFillTint="33" w:val="clear"/>
          </w:tcPr>
          <w:p>
            <w:pPr>
              <w:pStyle w:val="Normal"/>
              <w:widowControl w:val="false"/>
              <w:spacing w:lineRule="auto" w:line="240" w:before="0" w:after="0"/>
              <w:rPr/>
            </w:pPr>
            <w:r>
              <w:rPr>
                <w:i/>
                <w:sz w:val="22"/>
                <w:szCs w:val="22"/>
              </w:rPr>
              <w:t>Adoptar los modelos y leyes de la Química aceptados como base de estudio de las propiedades de los sistemas materiales, para inferir soluciones generales a los problemas cotidianos relacionados con las aplicaciones prácticas de la Química y sus repercusiones en el medioambiente.</w:t>
            </w:r>
          </w:p>
        </w:tc>
      </w:tr>
      <w:tr>
        <w:trPr/>
        <w:tc>
          <w:tcPr>
            <w:tcW w:w="10485" w:type="dxa"/>
            <w:tcBorders/>
            <w:shd w:color="auto" w:fill="auto" w:val="clear"/>
          </w:tcPr>
          <w:p>
            <w:pPr>
              <w:pStyle w:val="Normal"/>
              <w:widowControl w:val="false"/>
              <w:spacing w:lineRule="auto" w:line="240" w:before="0" w:after="0"/>
              <w:rPr/>
            </w:pPr>
            <w:r>
              <w:rPr>
                <w:sz w:val="22"/>
                <w:szCs w:val="22"/>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
              <w:widowControl w:val="false"/>
              <w:spacing w:lineRule="auto" w:line="240" w:before="0" w:after="0"/>
              <w:rPr/>
            </w:pPr>
            <w:r>
              <w:rPr>
                <w:sz w:val="22"/>
                <w:szCs w:val="22"/>
              </w:rPr>
              <w:t>2.2. Reconocer y comunicar que las bases de la Química constituyen un cuerpo de conocimiento imprescindible en un marco contextual</w:t>
            </w:r>
          </w:p>
          <w:p>
            <w:pPr>
              <w:pStyle w:val="Normal"/>
              <w:widowControl w:val="false"/>
              <w:spacing w:lineRule="auto" w:line="240" w:before="0" w:after="0"/>
              <w:rPr/>
            </w:pPr>
            <w:r>
              <w:rPr>
                <w:sz w:val="22"/>
                <w:szCs w:val="22"/>
              </w:rPr>
              <w:t>de estudio y discusión</w:t>
            </w:r>
          </w:p>
          <w:p>
            <w:pPr>
              <w:pStyle w:val="Normal"/>
              <w:widowControl w:val="false"/>
              <w:spacing w:lineRule="auto" w:line="240" w:before="0" w:after="0"/>
              <w:rPr/>
            </w:pPr>
            <w:r>
              <w:rPr>
                <w:sz w:val="22"/>
                <w:szCs w:val="22"/>
              </w:rPr>
              <w:t xml:space="preserve">de cuestiones significativas en los ámbitos social, económico, político y ético identificando la presencia e influencia de estas bases </w:t>
            </w:r>
          </w:p>
          <w:p>
            <w:pPr>
              <w:pStyle w:val="Normal"/>
              <w:widowControl w:val="false"/>
              <w:spacing w:lineRule="auto" w:line="240" w:before="0" w:after="0"/>
              <w:rPr/>
            </w:pPr>
            <w:r>
              <w:rPr>
                <w:sz w:val="22"/>
                <w:szCs w:val="22"/>
              </w:rPr>
              <w:t>en dichos ámbitos.</w:t>
            </w:r>
          </w:p>
          <w:p>
            <w:pPr>
              <w:pStyle w:val="Normal"/>
              <w:widowControl w:val="false"/>
              <w:spacing w:lineRule="auto" w:line="240" w:before="0" w:after="0"/>
              <w:rPr/>
            </w:pPr>
            <w:r>
              <w:rPr>
                <w:sz w:val="22"/>
                <w:szCs w:val="22"/>
              </w:rPr>
              <w:t>2.3. Aplicar de manera informada, coherente y razonada los modelos y leyes de la Química, explicando y prediciendo las</w:t>
            </w:r>
          </w:p>
          <w:p>
            <w:pPr>
              <w:pStyle w:val="Normal"/>
              <w:widowControl w:val="false"/>
              <w:spacing w:lineRule="auto" w:line="240" w:before="0" w:after="0"/>
              <w:rPr/>
            </w:pPr>
            <w:r>
              <w:rPr>
                <w:sz w:val="22"/>
                <w:szCs w:val="22"/>
              </w:rPr>
              <w:t>consecuencias de experimentos, fenómenos naturales, procesos industriales y descubrimientos científicos.</w:t>
            </w:r>
          </w:p>
        </w:tc>
      </w:tr>
      <w:tr>
        <w:trPr/>
        <w:tc>
          <w:tcPr>
            <w:tcW w:w="10485" w:type="dxa"/>
            <w:tcBorders/>
            <w:shd w:color="auto" w:fill="92CDDC" w:themeFill="accent5" w:themeFillTint="99" w:val="clear"/>
          </w:tcPr>
          <w:p>
            <w:pPr>
              <w:pStyle w:val="Normal"/>
              <w:widowControl w:val="false"/>
              <w:spacing w:lineRule="auto" w:line="240" w:before="0" w:after="0"/>
              <w:jc w:val="center"/>
              <w:rPr/>
            </w:pPr>
            <w:r>
              <w:rPr>
                <w:b/>
                <w:sz w:val="22"/>
                <w:szCs w:val="22"/>
              </w:rPr>
              <w:t>CE.Q.3</w:t>
            </w:r>
          </w:p>
        </w:tc>
      </w:tr>
      <w:tr>
        <w:trPr/>
        <w:tc>
          <w:tcPr>
            <w:tcW w:w="10485" w:type="dxa"/>
            <w:tcBorders/>
            <w:shd w:color="auto" w:fill="DBE5F1" w:themeFill="accent1" w:themeFillTint="33" w:val="clear"/>
          </w:tcPr>
          <w:p>
            <w:pPr>
              <w:pStyle w:val="Normal"/>
              <w:widowControl w:val="false"/>
              <w:spacing w:lineRule="auto" w:line="240" w:before="0" w:after="0"/>
              <w:ind w:left="-283" w:right="227" w:hanging="0"/>
              <w:rPr/>
            </w:pPr>
            <w:r>
              <w:rPr>
                <w:i/>
                <w:sz w:val="22"/>
                <w:szCs w:val="22"/>
              </w:rPr>
              <w:t>Utilizar con corrección los códigos del lenguaje químico (nomenclatura Química, unidades, ecuaciones, etc.), aplicando sus reglas específicas, para emplearlos como base de una comunicación adecuada entre diferentes comunidades científicas y herramienta fundamental en la investigación de esta ciencia.</w:t>
            </w:r>
          </w:p>
        </w:tc>
      </w:tr>
      <w:tr>
        <w:trPr/>
        <w:tc>
          <w:tcPr>
            <w:tcW w:w="10485" w:type="dxa"/>
            <w:tcBorders/>
            <w:shd w:color="auto" w:fill="auto" w:val="clear"/>
          </w:tcPr>
          <w:p>
            <w:pPr>
              <w:pStyle w:val="Normal"/>
              <w:widowControl w:val="false"/>
              <w:spacing w:lineRule="auto" w:line="240" w:before="0" w:after="0"/>
              <w:rPr/>
            </w:pPr>
            <w:r>
              <w:rPr>
                <w:sz w:val="22"/>
                <w:szCs w:val="22"/>
              </w:rPr>
              <w:t>3.1. Utilizar correctamente las normas de nomenclatura de la IUPAC como base de un lenguaje universal para la Química que permita una comunicación efectiva en toda la comunidad científica, aplicando dichas normas al reconocimiento y escritura de fórmulas y nombres de diferentes especies Químicas.</w:t>
            </w:r>
          </w:p>
          <w:p>
            <w:pPr>
              <w:pStyle w:val="Normal"/>
              <w:widowControl w:val="false"/>
              <w:spacing w:lineRule="auto" w:line="240" w:before="0" w:after="0"/>
              <w:rPr/>
            </w:pPr>
            <w:r>
              <w:rPr>
                <w:sz w:val="22"/>
                <w:szCs w:val="22"/>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
              <w:widowControl w:val="false"/>
              <w:spacing w:lineRule="auto" w:line="240" w:before="0" w:after="0"/>
              <w:rPr/>
            </w:pPr>
            <w:r>
              <w:rPr>
                <w:sz w:val="22"/>
                <w:szCs w:val="22"/>
              </w:rPr>
              <w:t>3.3. Practicar y hacer respetar las normas de seguridad relacionadas con la manipulación de sustancias Químicas en el laboratorio y</w:t>
            </w:r>
          </w:p>
          <w:p>
            <w:pPr>
              <w:pStyle w:val="Normal"/>
              <w:widowControl w:val="false"/>
              <w:spacing w:lineRule="auto" w:line="240" w:before="0" w:after="0"/>
              <w:rPr/>
            </w:pPr>
            <w:r>
              <w:rPr>
                <w:sz w:val="22"/>
                <w:szCs w:val="22"/>
              </w:rPr>
              <w:t xml:space="preserve"> </w:t>
            </w:r>
            <w:r>
              <w:rPr>
                <w:sz w:val="22"/>
                <w:szCs w:val="22"/>
              </w:rPr>
              <w:t>en otros entornos, así como los procedimientos para la correcta gestión y eliminación de los residuos, utilizando correctamente los códigos de comunicación característicos de la Química.</w:t>
            </w:r>
          </w:p>
        </w:tc>
      </w:tr>
      <w:tr>
        <w:trPr/>
        <w:tc>
          <w:tcPr>
            <w:tcW w:w="10485" w:type="dxa"/>
            <w:tcBorders/>
            <w:shd w:color="auto" w:fill="92CDDC" w:themeFill="accent5" w:themeFillTint="99" w:val="clear"/>
          </w:tcPr>
          <w:p>
            <w:pPr>
              <w:pStyle w:val="Normal"/>
              <w:widowControl w:val="false"/>
              <w:spacing w:lineRule="auto" w:line="240" w:before="0" w:after="0"/>
              <w:jc w:val="center"/>
              <w:rPr/>
            </w:pPr>
            <w:r>
              <w:rPr>
                <w:b/>
                <w:sz w:val="22"/>
                <w:szCs w:val="22"/>
              </w:rPr>
              <w:t>CE.Q.4</w:t>
            </w:r>
          </w:p>
        </w:tc>
      </w:tr>
      <w:tr>
        <w:trPr/>
        <w:tc>
          <w:tcPr>
            <w:tcW w:w="10485" w:type="dxa"/>
            <w:tcBorders/>
            <w:shd w:color="auto" w:fill="DBE5F1" w:themeFill="accent1" w:themeFillTint="33" w:val="clear"/>
          </w:tcPr>
          <w:p>
            <w:pPr>
              <w:pStyle w:val="Normal"/>
              <w:widowControl w:val="false"/>
              <w:spacing w:lineRule="auto" w:line="240" w:before="0" w:after="0"/>
              <w:rPr/>
            </w:pPr>
            <w:r>
              <w:rPr>
                <w:i/>
                <w:sz w:val="22"/>
                <w:szCs w:val="22"/>
              </w:rPr>
              <w:t>Reconocer la importancia del uso responsable de los productos y procesos químicos, elaborando argumentos informados sobre la influencia positiva que la Química tiene sobre la sociedad actual, para contribuir a superar las connotaciones negativas que en multitud de ocasiones se atribuyen al término “químico”.</w:t>
            </w:r>
          </w:p>
        </w:tc>
      </w:tr>
      <w:tr>
        <w:trPr/>
        <w:tc>
          <w:tcPr>
            <w:tcW w:w="10485" w:type="dxa"/>
            <w:tcBorders/>
            <w:shd w:color="auto" w:fill="auto" w:val="clear"/>
          </w:tcPr>
          <w:p>
            <w:pPr>
              <w:pStyle w:val="Normal"/>
              <w:widowControl w:val="false"/>
              <w:spacing w:lineRule="auto" w:line="240" w:before="0" w:after="0"/>
              <w:rPr/>
            </w:pPr>
            <w:r>
              <w:rPr>
                <w:sz w:val="22"/>
                <w:szCs w:val="22"/>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
              <w:widowControl w:val="false"/>
              <w:spacing w:lineRule="auto" w:line="240" w:before="0" w:after="0"/>
              <w:rPr/>
            </w:pPr>
            <w:r>
              <w:rPr>
                <w:sz w:val="22"/>
                <w:szCs w:val="22"/>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
              <w:widowControl w:val="false"/>
              <w:spacing w:lineRule="auto" w:line="240" w:before="0" w:after="0"/>
              <w:rPr/>
            </w:pPr>
            <w:r>
              <w:rPr>
                <w:sz w:val="22"/>
                <w:szCs w:val="22"/>
              </w:rPr>
              <w:t>4.3. Explicar, empleando los conocimientos científicos adecuados, cuáles son los beneficios de los numerosos productos de la tecnología Química y cómo su empleo y aplicación han contribuido al progreso de la sociedad.</w:t>
            </w:r>
          </w:p>
        </w:tc>
      </w:tr>
      <w:tr>
        <w:trPr/>
        <w:tc>
          <w:tcPr>
            <w:tcW w:w="10485" w:type="dxa"/>
            <w:tcBorders/>
            <w:shd w:color="auto" w:fill="92CDDC" w:themeFill="accent5" w:themeFillTint="99" w:val="clear"/>
          </w:tcPr>
          <w:p>
            <w:pPr>
              <w:pStyle w:val="Normal"/>
              <w:widowControl w:val="false"/>
              <w:spacing w:lineRule="auto" w:line="240" w:before="0" w:after="0"/>
              <w:jc w:val="center"/>
              <w:rPr/>
            </w:pPr>
            <w:r>
              <w:rPr>
                <w:b/>
                <w:sz w:val="22"/>
                <w:szCs w:val="22"/>
              </w:rPr>
              <w:t>CE.Q.5</w:t>
            </w:r>
          </w:p>
        </w:tc>
      </w:tr>
      <w:tr>
        <w:trPr/>
        <w:tc>
          <w:tcPr>
            <w:tcW w:w="10485" w:type="dxa"/>
            <w:tcBorders/>
            <w:shd w:color="auto" w:fill="DBE5F1" w:themeFill="accent1" w:themeFillTint="33" w:val="clear"/>
          </w:tcPr>
          <w:p>
            <w:pPr>
              <w:pStyle w:val="Normal"/>
              <w:widowControl w:val="false"/>
              <w:spacing w:lineRule="auto" w:line="240" w:before="0" w:after="0"/>
              <w:rPr/>
            </w:pPr>
            <w:r>
              <w:rPr>
                <w:i/>
                <w:sz w:val="22"/>
                <w:szCs w:val="22"/>
              </w:rPr>
              <w:t>Aplicar técnicas de trabajo propias de las ciencias experimentales y el razonamiento lógico-matemático en la resolución de problemas de Química y en la interpretación de situaciones relacionadas, valorando la importancia de la cooperación, para poner en valor el papel de la Química en una sociedad basada en valores éticos y sostenibles.</w:t>
            </w:r>
          </w:p>
        </w:tc>
      </w:tr>
      <w:tr>
        <w:trPr/>
        <w:tc>
          <w:tcPr>
            <w:tcW w:w="10485" w:type="dxa"/>
            <w:tcBorders/>
            <w:shd w:color="auto" w:fill="auto" w:val="clear"/>
          </w:tcPr>
          <w:p>
            <w:pPr>
              <w:pStyle w:val="Normal"/>
              <w:widowControl w:val="false"/>
              <w:spacing w:lineRule="auto" w:line="240" w:before="0" w:after="0"/>
              <w:rPr/>
            </w:pPr>
            <w:r>
              <w:rPr>
                <w:sz w:val="22"/>
                <w:szCs w:val="22"/>
              </w:rPr>
              <w:t>5.1. Reconocer la importante contribución en la Química del trabajo colaborativo entre especialistas de diferentes disciplinas científicas poniendo de relieve las conexiones entre las leyes y teorías propias de cada disciplina.</w:t>
            </w:r>
          </w:p>
          <w:p>
            <w:pPr>
              <w:pStyle w:val="Normal"/>
              <w:widowControl w:val="false"/>
              <w:spacing w:lineRule="auto" w:line="240" w:before="0" w:after="0"/>
              <w:rPr/>
            </w:pPr>
            <w:r>
              <w:rPr>
                <w:sz w:val="22"/>
                <w:szCs w:val="22"/>
              </w:rPr>
              <w:t>5.2. Reconocer la aportación de la Química al desarrollo del pensamiento científico y a la autonomía de pensamiento crítico a través de la puesta en práctica de las metodologías de trabajo propias de las disciplinas científicas.</w:t>
            </w:r>
          </w:p>
          <w:p>
            <w:pPr>
              <w:pStyle w:val="Normal"/>
              <w:widowControl w:val="false"/>
              <w:spacing w:lineRule="auto" w:line="240" w:before="0" w:after="0"/>
              <w:rPr/>
            </w:pPr>
            <w:r>
              <w:rPr>
                <w:sz w:val="22"/>
                <w:szCs w:val="22"/>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
              <w:widowControl w:val="false"/>
              <w:spacing w:lineRule="auto" w:line="240" w:before="0" w:after="0"/>
              <w:rPr/>
            </w:pPr>
            <w:r>
              <w:rPr>
                <w:sz w:val="22"/>
                <w:szCs w:val="22"/>
              </w:rPr>
              <w:t>5.4. Representar y visualizar de forma eficiente los conceptos de Química que presenten mayores dificultades utilizando herramientas digitales y recursos variados, incluyendo experiencias de laboratorio real y virtual.</w:t>
            </w:r>
          </w:p>
        </w:tc>
      </w:tr>
      <w:tr>
        <w:trPr/>
        <w:tc>
          <w:tcPr>
            <w:tcW w:w="10485" w:type="dxa"/>
            <w:tcBorders/>
            <w:shd w:color="auto" w:fill="92CDDC" w:themeFill="accent5" w:themeFillTint="99" w:val="clear"/>
          </w:tcPr>
          <w:p>
            <w:pPr>
              <w:pStyle w:val="Normal"/>
              <w:widowControl w:val="false"/>
              <w:spacing w:lineRule="auto" w:line="240" w:before="0" w:after="0"/>
              <w:jc w:val="center"/>
              <w:rPr/>
            </w:pPr>
            <w:r>
              <w:rPr>
                <w:b/>
                <w:sz w:val="22"/>
                <w:szCs w:val="22"/>
              </w:rPr>
              <w:t>CE.Q.6</w:t>
            </w:r>
          </w:p>
        </w:tc>
      </w:tr>
      <w:tr>
        <w:trPr/>
        <w:tc>
          <w:tcPr>
            <w:tcW w:w="10485" w:type="dxa"/>
            <w:tcBorders/>
            <w:shd w:color="auto" w:fill="DBE5F1" w:themeFill="accent1" w:themeFillTint="33" w:val="clear"/>
          </w:tcPr>
          <w:p>
            <w:pPr>
              <w:pStyle w:val="Normal"/>
              <w:widowControl w:val="false"/>
              <w:spacing w:lineRule="auto" w:line="240" w:before="0" w:after="0"/>
              <w:rPr/>
            </w:pPr>
            <w:r>
              <w:rPr>
                <w:i/>
                <w:sz w:val="22"/>
                <w:szCs w:val="22"/>
              </w:rPr>
              <w:t>Reconocer y analizar la Química como una materia multidisciplinar y versátil, poniendo de manifiesto las relaciones con otras ciencias y campos de conocimiento, para realizar a través de ella una aproximación holística al conocimiento científico y global.</w:t>
            </w:r>
          </w:p>
        </w:tc>
      </w:tr>
      <w:tr>
        <w:trPr/>
        <w:tc>
          <w:tcPr>
            <w:tcW w:w="10485" w:type="dxa"/>
            <w:tcBorders/>
            <w:shd w:color="auto" w:fill="auto" w:val="clear"/>
          </w:tcPr>
          <w:p>
            <w:pPr>
              <w:pStyle w:val="Normal"/>
              <w:widowControl w:val="false"/>
              <w:spacing w:lineRule="auto" w:line="240" w:before="0" w:after="0"/>
              <w:rPr/>
            </w:pPr>
            <w:r>
              <w:rPr>
                <w:sz w:val="22"/>
                <w:szCs w:val="22"/>
              </w:rPr>
              <w:t>6.1. Explicar y razonar los conceptos fundamentales que se encuentran en la base de la Química aplicando los conceptos, leyes y teorías de otras disciplinas científicas (especialmente de la Física) a través de la experimentación y la indagación.</w:t>
            </w:r>
            <w:bookmarkStart w:id="23" w:name="__DdeLink__1409_1761028890"/>
            <w:bookmarkEnd w:id="23"/>
          </w:p>
          <w:p>
            <w:pPr>
              <w:pStyle w:val="Normal"/>
              <w:widowControl w:val="false"/>
              <w:spacing w:lineRule="auto" w:line="240" w:before="0" w:after="0"/>
              <w:rPr/>
            </w:pPr>
            <w:r>
              <w:rPr>
                <w:sz w:val="22"/>
                <w:szCs w:val="22"/>
              </w:rPr>
              <w:t>6.2. Deducir las ideas fundamentales de otras disciplinas científicas (por ejemplo, la biología o la tecnología) por medio de la relación entre sus contenidos básicos y las leyes y teorías que son propias de la Química.</w:t>
            </w:r>
          </w:p>
          <w:p>
            <w:pPr>
              <w:pStyle w:val="Normal"/>
              <w:widowControl w:val="false"/>
              <w:spacing w:lineRule="auto" w:line="240" w:before="0" w:after="0"/>
              <w:rPr/>
            </w:pPr>
            <w:r>
              <w:rPr>
                <w:sz w:val="22"/>
                <w:szCs w:val="22"/>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bookmarkStart w:id="24" w:name="__DdeLink__1414_1761028890"/>
            <w:bookmarkEnd w:id="24"/>
          </w:p>
        </w:tc>
      </w:tr>
    </w:tbl>
    <w:p>
      <w:pPr>
        <w:pStyle w:val="Ttulo1"/>
        <w:jc w:val="both"/>
        <w:rPr>
          <w:rFonts w:ascii="Calibri" w:hAnsi="Calibri"/>
          <w:sz w:val="22"/>
          <w:szCs w:val="22"/>
        </w:rPr>
      </w:pPr>
      <w:r>
        <w:rPr>
          <w:sz w:val="22"/>
          <w:szCs w:val="22"/>
        </w:rPr>
      </w:r>
    </w:p>
    <w:p>
      <w:pPr>
        <w:pStyle w:val="Normal"/>
        <w:jc w:val="both"/>
        <w:rPr/>
      </w:pPr>
      <w:r>
        <w:rPr>
          <w:rFonts w:eastAsia="Cambria" w:cs="Cambria"/>
          <w:b/>
          <w:sz w:val="22"/>
          <w:szCs w:val="22"/>
          <w:u w:val="single"/>
        </w:rPr>
        <w:t>2. CONCRECIÓN, AGRUPAMIENTO Y SECUENCIACIÓN DE LOS SABERES BÁSICOS Y DE LOS CRITERIOS DE EVALUACIÓN EN UNIDADES DIDÁCTICAS</w:t>
      </w:r>
    </w:p>
    <w:p>
      <w:pPr>
        <w:pStyle w:val="Ttulo1"/>
        <w:rPr/>
      </w:pPr>
      <w:r>
        <w:rPr>
          <w:sz w:val="22"/>
          <w:szCs w:val="22"/>
        </w:rPr>
        <w:t>III. Saberes básicos</w:t>
      </w:r>
    </w:p>
    <w:p>
      <w:pPr>
        <w:pStyle w:val="Ttulo2"/>
        <w:rPr/>
      </w:pPr>
      <w:r>
        <w:rPr>
          <w:sz w:val="22"/>
          <w:szCs w:val="22"/>
        </w:rPr>
        <w:t>III.1. Descripción de los diferentes bloques en los que se estructuran los saberes básicos</w:t>
      </w:r>
    </w:p>
    <w:p>
      <w:pPr>
        <w:pStyle w:val="Ttulo3"/>
        <w:rPr/>
      </w:pPr>
      <w:r>
        <w:rPr>
          <w:sz w:val="22"/>
          <w:szCs w:val="22"/>
        </w:rPr>
        <w:t>A. Enlace químico y estructura de la materia</w:t>
      </w:r>
    </w:p>
    <w:p>
      <w:pPr>
        <w:pStyle w:val="Normal"/>
        <w:rPr/>
      </w:pPr>
      <w:r>
        <w:rPr>
          <w:sz w:val="22"/>
          <w:szCs w:val="22"/>
        </w:rPr>
        <w:t>Como saber básico, la comprensión de la estructura de la materia es uno de los pilares fundamentales de la Química ya que de su correcta comprensión depende que el alumnado pueda tener éxito en ésta y en otras disciplinas científicas como, por ejemplo, la Biología. Así mismo es un concepto esencial en otras partes de la Química como son las reacciones químicas, la Química del carbono, los ácidos y bases o la termodinámica. Lamentablemente, la complejidad de esta parte de la Química, por el alto nivel de abstracción que exige, hace que su enseñanza y asimilación por parte del alumnado sea una tarea complicada.</w:t>
      </w:r>
    </w:p>
    <w:p>
      <w:pPr>
        <w:pStyle w:val="Normal"/>
        <w:rPr/>
      </w:pPr>
      <w:r>
        <w:rPr>
          <w:sz w:val="22"/>
          <w:szCs w:val="22"/>
        </w:rPr>
        <w:t>La comprensión del comportamiento de la materia a través de sus propiedades físicas y Químicas, se sustenta en el entendimiento de su estructura interna, la cual está íntimamente ligada a su comportamiento a nivel macroscópico. Como ya se aprecia en el currículo de secundaria, los niveles microscópico y macroscópico están estrechamente relacionados, lo cual ayuda a que el alumnado de 2º de Bachillerato parta de este conocimiento para abordar la estructura de la materia de forma más detallada. </w:t>
      </w:r>
    </w:p>
    <w:p>
      <w:pPr>
        <w:pStyle w:val="Normal"/>
        <w:rPr/>
      </w:pPr>
      <w:r>
        <w:rPr>
          <w:sz w:val="22"/>
          <w:szCs w:val="22"/>
        </w:rPr>
        <w:t>En este bloque se comienza con una introducción histórica en la que se hace referencia a la evolución del modelo atómico para terminar con el estudio del modelo mecanocuántico del átomo. Posteriormente se analiza la estructura electrónica interna del átomo y se relaciona con los elementos de la Tabla Periódica y con las propiedades periódicas de los mismos. Finalmente, se aborda el concepto de enlace, describiendo todos los tipos a través de los modelos de orbitales, la Teoría TRPECV, el ciclo de Born-Haber y la teoría de bandas. </w:t>
      </w:r>
    </w:p>
    <w:p>
      <w:pPr>
        <w:pStyle w:val="Normal"/>
        <w:rPr/>
      </w:pPr>
      <w:r>
        <w:rPr>
          <w:sz w:val="22"/>
          <w:szCs w:val="22"/>
        </w:rPr>
        <w:t>Como ya se ha indicado, el alto grado de abstracción que requiere entender los fundamentos de esta parte de la Química, obliga a que su implementación tenga lugar en este curso. Con este propósito y con el de proporcionar al alumnado las habilidades experimentales propias de esta materia, se proponen una serie de actividades experimentales sencillas pero necesarias para desarrollar el interés por la asignatura y fomentar las técnicas de trabajo propias del pensamiento científico. Por otra parte, y debido a la complejidad del tema, resulta muy adecuada la utilización de simuladores para que el alumnado sea capaz de visualizar el comportamiento del átomo y de las partículas subatómicas. </w:t>
      </w:r>
    </w:p>
    <w:p>
      <w:pPr>
        <w:pStyle w:val="Normal"/>
        <w:rPr/>
      </w:pPr>
      <w:r>
        <w:rPr>
          <w:sz w:val="22"/>
          <w:szCs w:val="22"/>
        </w:rPr>
        <w:t>Las conexiones con otras materias de carácter científico son variadas. La relación entre la Química, la Biología, la Física y las Matemáticas es esencial para la interpretación adecuada de diversos fenómenos físicos, químicos o biológicos. Por ejemplo, en la materia de Biología se necesita el concepto de enlace para comprender la estructura de las moléculas que facilitan la existencia de la vida, o la colaboración de la física y las matemáticas en los desarrollos de la teoría mecanocuántica.</w:t>
      </w:r>
    </w:p>
    <w:p>
      <w:pPr>
        <w:pStyle w:val="Ttulo3"/>
        <w:rPr/>
      </w:pPr>
      <w:r>
        <w:rPr>
          <w:sz w:val="22"/>
          <w:szCs w:val="22"/>
        </w:rPr>
        <w:t>B. Reacciones Químicas</w:t>
      </w:r>
    </w:p>
    <w:p>
      <w:pPr>
        <w:pStyle w:val="Normal"/>
        <w:rPr/>
      </w:pPr>
      <w:r>
        <w:rPr>
          <w:sz w:val="22"/>
          <w:szCs w:val="22"/>
        </w:rPr>
        <w:t>En este bloque se introduce el concepto de reacción química, estudiando sus aspectos energéticos (termoquímica), dinámicos (cinética) y de equilibrio (equilibrio químico). Se analiza el calor intercambiado y su espontaneidad, así como los factores que modifican tanto la velocidad de reacción como el desplazamiento de su equilibrio. Así mismo se estudian los equilibrios de solubilidad, ácido base y de reducción-oxidación.  Todos ellos son conceptos complejos pero la madurez cognitiva del alumnado de 2º bachillerato posibilita introducirlos ya que son capaces de comprender conceptos abstractos y con un cierto nivel de simbolismo.</w:t>
      </w:r>
    </w:p>
    <w:p>
      <w:pPr>
        <w:pStyle w:val="Normal"/>
        <w:rPr/>
      </w:pPr>
      <w:r>
        <w:rPr>
          <w:sz w:val="22"/>
          <w:szCs w:val="22"/>
        </w:rPr>
        <w:t>Este bloque, por su naturaleza, permite que los alumnos y las alumnas puedan adquirir buenas prácticas de laboratorio y puedan profundizar en la práctica de la actividad científica que constituye el eje vertebrador del aprendizaje de las ciencias. Por otra parte, también permite acercar la Química a situaciones de la vida cotidiana lo que fomenta en el alumnado el desarrollo de una actitud crítica sobre el papel de la Química en nuestra sociedad y posibilita el desarrollo en el alumnado del perfil STEM, lo cual enriquece su vida académica y profesional además de su crecimiento personal. </w:t>
      </w:r>
    </w:p>
    <w:p>
      <w:pPr>
        <w:pStyle w:val="Normal"/>
        <w:rPr/>
      </w:pPr>
      <w:r>
        <w:rPr>
          <w:sz w:val="22"/>
          <w:szCs w:val="22"/>
        </w:rPr>
        <w:t>Las relaciones con otras materias de carácter científico están muy claras. En este apartado hay una importante vinculación con la Biología con la que se comparten muchos procesos (solubilidad, disolución amortiguadora, catalizadores, ...). Por otra parte, la necesidad de utilizar procedimientos que pertenecen a la matemática y a la física sigue estando patente en este bloque (representaciones gráficas, cálculos matemáticos, energía, entropía, velocidad, ...).</w:t>
      </w:r>
    </w:p>
    <w:p>
      <w:pPr>
        <w:pStyle w:val="Ttulo2"/>
        <w:rPr/>
      </w:pPr>
      <w:r>
        <w:rPr>
          <w:sz w:val="22"/>
          <w:szCs w:val="22"/>
        </w:rPr>
        <w:t xml:space="preserve">III.2. Concreción de los saberes básicos </w:t>
      </w:r>
    </w:p>
    <w:tbl>
      <w:tblPr>
        <w:tblW w:w="11070" w:type="dxa"/>
        <w:jc w:val="left"/>
        <w:tblInd w:w="-876" w:type="dxa"/>
        <w:tblCellMar>
          <w:top w:w="0" w:type="dxa"/>
          <w:left w:w="108" w:type="dxa"/>
          <w:bottom w:w="0" w:type="dxa"/>
          <w:right w:w="108" w:type="dxa"/>
        </w:tblCellMar>
        <w:tblLook w:firstRow="1" w:noVBand="1" w:lastRow="0" w:firstColumn="1" w:lastColumn="0" w:noHBand="0" w:val="04a0"/>
      </w:tblPr>
      <w:tblGrid>
        <w:gridCol w:w="6105"/>
        <w:gridCol w:w="4964"/>
      </w:tblGrid>
      <w:tr>
        <w:trPr/>
        <w:tc>
          <w:tcPr>
            <w:tcW w:w="11069" w:type="dxa"/>
            <w:gridSpan w:val="2"/>
            <w:tcBorders/>
            <w:shd w:color="auto" w:fill="92CDDC" w:themeFill="accent5" w:themeFillTint="99" w:val="clear"/>
          </w:tcPr>
          <w:p>
            <w:pPr>
              <w:pStyle w:val="Normal"/>
              <w:widowControl w:val="false"/>
              <w:spacing w:lineRule="auto" w:line="240" w:before="0" w:after="0"/>
              <w:jc w:val="center"/>
              <w:rPr/>
            </w:pPr>
            <w:r>
              <w:rPr>
                <w:b/>
                <w:sz w:val="22"/>
                <w:szCs w:val="22"/>
              </w:rPr>
              <w:t>A. Enlace químico y estructura de la materia</w:t>
            </w:r>
          </w:p>
        </w:tc>
      </w:tr>
      <w:tr>
        <w:trPr/>
        <w:tc>
          <w:tcPr>
            <w:tcW w:w="11069" w:type="dxa"/>
            <w:gridSpan w:val="2"/>
            <w:tcBorders/>
            <w:shd w:color="auto" w:fill="DBE5F1" w:themeFill="accent1" w:themeFillTint="33" w:val="clear"/>
          </w:tcPr>
          <w:p>
            <w:pPr>
              <w:pStyle w:val="Normal"/>
              <w:widowControl w:val="false"/>
              <w:spacing w:lineRule="auto" w:line="240" w:before="0" w:after="0"/>
              <w:rPr/>
            </w:pPr>
            <w:r>
              <w:rPr>
                <w:sz w:val="22"/>
                <w:szCs w:val="22"/>
              </w:rPr>
              <w:t>En este bloque se reconoce la importancia de la teoría mecanocuántica para el conocimiento del átomo y se estudia la estructura atómica de los elementos y su repercusión en las propiedades periódicas de los mismos. Es importante destacar el estudio de los distintos tipos de enlaces que aparecen entre los elementos y de las propiedades fisicoquímicas de las sustancias que pueden formar. Es recomendable valorar la posibilidad de alterar el orden de desarrollo de los bloques, dejando este bloque para la última parte del curso, ya que el alumnado ya habrá podido entender conceptos como energía de enlace, ley de Hess, etc. Por otra parte, en la parte del enlace químico se recomienda una secuenciación que facilitará al alumnado el aprendizaje de los diferentes tipos de enlace.</w:t>
            </w:r>
          </w:p>
        </w:tc>
      </w:tr>
      <w:tr>
        <w:trPr/>
        <w:tc>
          <w:tcPr>
            <w:tcW w:w="6105" w:type="dxa"/>
            <w:tcBorders/>
            <w:shd w:color="auto" w:fill="D9D9D9" w:themeFill="background1" w:themeFillShade="d9" w:val="clear"/>
          </w:tcPr>
          <w:p>
            <w:pPr>
              <w:pStyle w:val="Normal"/>
              <w:widowControl w:val="false"/>
              <w:spacing w:lineRule="auto" w:line="240" w:before="0" w:after="0"/>
              <w:jc w:val="center"/>
              <w:rPr/>
            </w:pPr>
            <w:r>
              <w:rPr>
                <w:i/>
                <w:sz w:val="22"/>
                <w:szCs w:val="22"/>
              </w:rPr>
              <w:t>Conocimientos, destrezas y actitudes</w:t>
            </w:r>
          </w:p>
        </w:tc>
        <w:tc>
          <w:tcPr>
            <w:tcW w:w="4964" w:type="dxa"/>
            <w:tcBorders/>
            <w:shd w:color="auto" w:fill="D9D9D9" w:themeFill="background1" w:themeFillShade="d9" w:val="clear"/>
          </w:tcPr>
          <w:p>
            <w:pPr>
              <w:pStyle w:val="Normal"/>
              <w:widowControl w:val="false"/>
              <w:spacing w:lineRule="auto" w:line="240" w:before="0" w:after="0"/>
              <w:jc w:val="center"/>
              <w:rPr/>
            </w:pPr>
            <w:r>
              <w:rPr>
                <w:i/>
                <w:sz w:val="22"/>
                <w:szCs w:val="22"/>
              </w:rPr>
              <w:t xml:space="preserve">Criterios de evaluación </w:t>
            </w:r>
          </w:p>
        </w:tc>
      </w:tr>
      <w:tr>
        <w:trPr/>
        <w:tc>
          <w:tcPr>
            <w:tcW w:w="6105" w:type="dxa"/>
            <w:tcBorders/>
            <w:shd w:color="auto" w:fill="auto" w:val="clear"/>
          </w:tcPr>
          <w:p>
            <w:pPr>
              <w:pStyle w:val="Normal"/>
              <w:widowControl w:val="false"/>
              <w:spacing w:lineRule="auto" w:line="240" w:before="0" w:after="0"/>
              <w:rPr/>
            </w:pPr>
            <w:r>
              <w:rPr>
                <w:b/>
                <w:sz w:val="22"/>
                <w:szCs w:val="22"/>
              </w:rPr>
              <w:t>A.1. Espectros atómicos:</w:t>
            </w:r>
          </w:p>
          <w:p>
            <w:pPr>
              <w:pStyle w:val="DC1"/>
              <w:widowControl w:val="false"/>
              <w:numPr>
                <w:ilvl w:val="0"/>
                <w:numId w:val="1"/>
              </w:numPr>
              <w:ind w:left="0" w:hanging="0"/>
              <w:rPr/>
            </w:pPr>
            <w:r>
              <w:rPr>
                <w:sz w:val="22"/>
                <w:szCs w:val="22"/>
              </w:rPr>
              <w:t>Los espectros atómicos como responsables de la necesidad de la revisión del modelo atómico. Relevancia de este fenómeno en el contexto del desarrollo histórico del modelo atómico.</w:t>
            </w:r>
          </w:p>
          <w:p>
            <w:pPr>
              <w:pStyle w:val="DC1"/>
              <w:widowControl w:val="false"/>
              <w:numPr>
                <w:ilvl w:val="0"/>
                <w:numId w:val="1"/>
              </w:numPr>
              <w:ind w:left="0" w:hanging="0"/>
              <w:rPr/>
            </w:pPr>
            <w:r>
              <w:rPr>
                <w:sz w:val="22"/>
                <w:szCs w:val="22"/>
              </w:rPr>
              <w:t>Interpretación de los espectros de emisión y absorción de los elementos. Relación con la estructura electrónica del átomo.</w:t>
            </w:r>
          </w:p>
        </w:tc>
        <w:tc>
          <w:tcPr>
            <w:tcW w:w="4964" w:type="dxa"/>
            <w:tcBorders/>
            <w:shd w:color="auto" w:fill="auto" w:val="clear"/>
          </w:tcPr>
          <w:p>
            <w:pPr>
              <w:pStyle w:val="Normal"/>
              <w:widowControl w:val="false"/>
              <w:spacing w:lineRule="auto" w:line="240" w:before="0" w:after="0"/>
              <w:rPr/>
            </w:pPr>
            <w:r>
              <w:rPr>
                <w:sz w:val="22"/>
                <w:szCs w:val="22"/>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
              <w:widowControl w:val="false"/>
              <w:spacing w:lineRule="auto" w:line="240" w:before="0" w:after="0"/>
              <w:rPr/>
            </w:pPr>
            <w:r>
              <w:rPr>
                <w:sz w:val="22"/>
                <w:szCs w:val="22"/>
              </w:rPr>
              <w:t>1.2. Describir los principales procesos químicos que suceden en el entorno y las propiedades de los sistemas materiales a partir de los conocimientos, destrezas y actitudes propios de las distintas disciplinas de la Química.</w:t>
            </w:r>
          </w:p>
          <w:p>
            <w:pPr>
              <w:pStyle w:val="Normal"/>
              <w:widowControl w:val="false"/>
              <w:spacing w:lineRule="auto" w:line="240" w:before="0" w:after="0"/>
              <w:rPr/>
            </w:pPr>
            <w:r>
              <w:rPr>
                <w:sz w:val="22"/>
                <w:szCs w:val="22"/>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
              <w:widowControl w:val="false"/>
              <w:spacing w:lineRule="auto" w:line="240" w:before="0" w:after="0"/>
              <w:rPr/>
            </w:pPr>
            <w:r>
              <w:rPr>
                <w:sz w:val="22"/>
                <w:szCs w:val="22"/>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
              <w:widowControl w:val="false"/>
              <w:spacing w:lineRule="auto" w:line="240" w:before="0" w:after="0"/>
              <w:rPr/>
            </w:pPr>
            <w:r>
              <w:rPr>
                <w:sz w:val="22"/>
                <w:szCs w:val="22"/>
              </w:rPr>
              <w:t>2.2. Reconocer y comunicar que las bases de la Química constituyen un cuerpo de conocimiento imprescindible en un marco contextual</w:t>
            </w:r>
          </w:p>
          <w:p>
            <w:pPr>
              <w:pStyle w:val="Normal"/>
              <w:widowControl w:val="false"/>
              <w:spacing w:lineRule="auto" w:line="240" w:before="0" w:after="0"/>
              <w:rPr/>
            </w:pPr>
            <w:r>
              <w:rPr>
                <w:sz w:val="22"/>
                <w:szCs w:val="22"/>
              </w:rPr>
              <w:t>de estudio y discusión</w:t>
            </w:r>
          </w:p>
          <w:p>
            <w:pPr>
              <w:pStyle w:val="Normal"/>
              <w:widowControl w:val="false"/>
              <w:spacing w:lineRule="auto" w:line="240" w:before="0" w:after="0"/>
              <w:rPr/>
            </w:pPr>
            <w:r>
              <w:rPr>
                <w:sz w:val="22"/>
                <w:szCs w:val="22"/>
              </w:rPr>
              <w:t xml:space="preserve">de cuestiones significativas en los ámbitos social, económico, político y ético identificando la presencia e influencia de estas bases </w:t>
            </w:r>
          </w:p>
          <w:p>
            <w:pPr>
              <w:pStyle w:val="Normal"/>
              <w:widowControl w:val="false"/>
              <w:spacing w:lineRule="auto" w:line="240" w:before="0" w:after="0"/>
              <w:rPr/>
            </w:pPr>
            <w:r>
              <w:rPr>
                <w:sz w:val="22"/>
                <w:szCs w:val="22"/>
              </w:rPr>
              <w:t>en dichos ámbitos.</w:t>
            </w:r>
          </w:p>
          <w:p>
            <w:pPr>
              <w:pStyle w:val="Normal"/>
              <w:widowControl w:val="false"/>
              <w:spacing w:lineRule="auto" w:line="240" w:before="0" w:after="0"/>
              <w:rPr/>
            </w:pPr>
            <w:r>
              <w:rPr>
                <w:sz w:val="22"/>
                <w:szCs w:val="22"/>
              </w:rPr>
              <w:t>2.3. Aplicar de manera informada, coherente y razonada los modelos y leyes de la Química, explicando y prediciendo las</w:t>
            </w:r>
          </w:p>
          <w:p>
            <w:pPr>
              <w:pStyle w:val="Normal"/>
              <w:widowControl w:val="false"/>
              <w:spacing w:lineRule="auto" w:line="240" w:before="0" w:after="0"/>
              <w:rPr/>
            </w:pPr>
            <w:r>
              <w:rPr>
                <w:sz w:val="22"/>
                <w:szCs w:val="22"/>
              </w:rPr>
              <w:t>consecuencias de experimentos, fenómenos naturales, procesos industriales y descubrimientos científicos.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
              <w:widowControl w:val="false"/>
              <w:spacing w:lineRule="auto" w:line="240" w:before="0" w:after="0"/>
              <w:rPr/>
            </w:pPr>
            <w:r>
              <w:rPr>
                <w:sz w:val="22"/>
                <w:szCs w:val="22"/>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
              <w:widowControl w:val="false"/>
              <w:spacing w:lineRule="auto" w:line="240" w:before="0" w:after="0"/>
              <w:rPr/>
            </w:pPr>
            <w:r>
              <w:rPr>
                <w:sz w:val="22"/>
                <w:szCs w:val="22"/>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.5.1. Reconocer la importante contribución en la Química del trabajo colaborativo entre especialistas de diferentes disciplinas científicas poniendo de relieve las conexiones entre las leyes y teorías propias de cada disciplina.</w:t>
            </w:r>
          </w:p>
          <w:p>
            <w:pPr>
              <w:pStyle w:val="Normal"/>
              <w:widowControl w:val="false"/>
              <w:spacing w:lineRule="auto" w:line="240" w:before="0" w:after="0"/>
              <w:rPr/>
            </w:pPr>
            <w:r>
              <w:rPr>
                <w:sz w:val="22"/>
                <w:szCs w:val="22"/>
              </w:rPr>
              <w:t>5.2. Reconocer la aportación de la Química al desarrollo del pensamiento científico y a la autonomía de pensamiento crítico a través de la puesta en práctica de las metodologías de trabajo propias de las disciplinas científicas.</w:t>
            </w:r>
          </w:p>
          <w:p>
            <w:pPr>
              <w:pStyle w:val="Normal"/>
              <w:widowControl w:val="false"/>
              <w:spacing w:lineRule="auto" w:line="240" w:before="0" w:after="0"/>
              <w:rPr/>
            </w:pPr>
            <w:r>
              <w:rPr>
                <w:sz w:val="22"/>
                <w:szCs w:val="22"/>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
              <w:widowControl w:val="false"/>
              <w:spacing w:lineRule="auto" w:line="240" w:before="0" w:after="0"/>
              <w:rPr/>
            </w:pPr>
            <w:r>
              <w:rPr>
                <w:sz w:val="22"/>
                <w:szCs w:val="22"/>
              </w:rPr>
              <w:t>5.4. Representar y visualizar de forma eficiente los conceptos de Química que presenten mayores dificultades utilizando herramientas digitales y recursos variados, incluyendo experiencias de laboratorio real y virtual.</w:t>
            </w:r>
          </w:p>
          <w:p>
            <w:pPr>
              <w:pStyle w:val="Normal"/>
              <w:widowControl w:val="false"/>
              <w:spacing w:lineRule="auto" w:line="240" w:before="0" w:after="0"/>
              <w:rPr/>
            </w:pPr>
            <w:r>
              <w:rPr>
                <w:sz w:val="22"/>
                <w:szCs w:val="22"/>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
              <w:widowControl w:val="false"/>
              <w:spacing w:lineRule="auto" w:line="240" w:before="0" w:after="0"/>
              <w:rPr/>
            </w:pPr>
            <w:r>
              <w:rPr>
                <w:sz w:val="22"/>
                <w:szCs w:val="22"/>
              </w:rPr>
              <w:t>6.2. Deducir las ideas fundamentales de otras disciplinas científicas (por ejemplo, la biología o la tecnología) por medio de la relación entre sus contenidos básicos y las leyes y teorías que son propias de la Química.</w:t>
            </w:r>
          </w:p>
          <w:p>
            <w:pPr>
              <w:pStyle w:val="Normal"/>
              <w:widowControl w:val="false"/>
              <w:spacing w:lineRule="auto" w:line="240" w:before="0" w:after="0"/>
              <w:rPr/>
            </w:pPr>
            <w:r>
              <w:rPr>
                <w:sz w:val="22"/>
                <w:szCs w:val="22"/>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p>
            <w:pPr>
              <w:pStyle w:val="Normal"/>
              <w:widowControl w:val="false"/>
              <w:spacing w:lineRule="auto" w:line="240" w:before="0" w:after="0"/>
              <w:rPr>
                <w:rFonts w:ascii="Calibri" w:hAnsi="Calibri"/>
                <w:sz w:val="22"/>
                <w:szCs w:val="22"/>
              </w:rPr>
            </w:pPr>
            <w:r>
              <w:rPr>
                <w:sz w:val="22"/>
                <w:szCs w:val="22"/>
              </w:rPr>
            </w:r>
          </w:p>
        </w:tc>
      </w:tr>
      <w:tr>
        <w:trPr/>
        <w:tc>
          <w:tcPr>
            <w:tcW w:w="6105" w:type="dxa"/>
            <w:tcBorders/>
            <w:shd w:color="auto" w:fill="auto" w:val="clear"/>
          </w:tcPr>
          <w:p>
            <w:pPr>
              <w:pStyle w:val="Normal"/>
              <w:widowControl w:val="false"/>
              <w:spacing w:lineRule="auto" w:line="240" w:before="0" w:after="0"/>
              <w:rPr/>
            </w:pPr>
            <w:r>
              <w:rPr>
                <w:b/>
                <w:sz w:val="22"/>
                <w:szCs w:val="22"/>
              </w:rPr>
              <w:t>A.2. Principios cuánticos de la estructura atómica:</w:t>
            </w:r>
          </w:p>
          <w:p>
            <w:pPr>
              <w:pStyle w:val="DC1"/>
              <w:widowControl w:val="false"/>
              <w:numPr>
                <w:ilvl w:val="0"/>
                <w:numId w:val="1"/>
              </w:numPr>
              <w:ind w:left="0" w:hanging="0"/>
              <w:rPr/>
            </w:pPr>
            <w:r>
              <w:rPr>
                <w:sz w:val="22"/>
                <w:szCs w:val="22"/>
              </w:rPr>
              <w:t>Relación entre el fenómeno de los espectros atómicos y la cuantización de la energía. Del modelo de Bohr a los modelos mecano-cuánticos: necesidad de una estructura electrónica en diferentes niveles</w:t>
            </w:r>
          </w:p>
          <w:p>
            <w:pPr>
              <w:pStyle w:val="DC1"/>
              <w:widowControl w:val="false"/>
              <w:numPr>
                <w:ilvl w:val="0"/>
                <w:numId w:val="1"/>
              </w:numPr>
              <w:ind w:left="0" w:hanging="0"/>
              <w:rPr/>
            </w:pPr>
            <w:r>
              <w:rPr>
                <w:sz w:val="22"/>
                <w:szCs w:val="22"/>
              </w:rPr>
              <w:t>Principio de incertidumbre de Heisenberg y doble naturaleza onda-corpúsculo del electrón. Naturaleza probabilística del concepto de orbital.</w:t>
            </w:r>
          </w:p>
          <w:p>
            <w:pPr>
              <w:pStyle w:val="DC1"/>
              <w:widowControl w:val="false"/>
              <w:numPr>
                <w:ilvl w:val="0"/>
                <w:numId w:val="1"/>
              </w:numPr>
              <w:ind w:left="0" w:hanging="0"/>
              <w:rPr/>
            </w:pPr>
            <w:r>
              <w:rPr>
                <w:sz w:val="22"/>
                <w:szCs w:val="22"/>
              </w:rPr>
              <w:t>Números cuánticos y principio de exclusión de Pauli. Estructura electrónica del átomo. Utilización del diagrama de Moeller para escribir la configuración electrónica de los elementos químicos.</w:t>
            </w:r>
          </w:p>
        </w:tc>
        <w:tc>
          <w:tcPr>
            <w:tcW w:w="4964" w:type="dxa"/>
            <w:tcBorders/>
            <w:shd w:color="auto" w:fill="auto" w:val="clear"/>
          </w:tcPr>
          <w:p>
            <w:pPr>
              <w:pStyle w:val="Normal"/>
              <w:widowControl w:val="false"/>
              <w:spacing w:lineRule="auto" w:line="240" w:before="0" w:after="0"/>
              <w:rPr/>
            </w:pPr>
            <w:r>
              <w:rPr>
                <w:sz w:val="22"/>
                <w:szCs w:val="22"/>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
              <w:widowControl w:val="false"/>
              <w:spacing w:lineRule="auto" w:line="240" w:before="0" w:after="0"/>
              <w:rPr/>
            </w:pPr>
            <w:r>
              <w:rPr>
                <w:sz w:val="22"/>
                <w:szCs w:val="22"/>
              </w:rPr>
              <w:t>1.2. Describir los principales procesos químicos que suceden en el entorno y las propiedades de los sistemas materiales a partir de los conocimientos, destrezas y actitudes propios de las distintas disciplinas de la Química.</w:t>
            </w:r>
          </w:p>
          <w:p>
            <w:pPr>
              <w:pStyle w:val="Normal"/>
              <w:widowControl w:val="false"/>
              <w:spacing w:lineRule="auto" w:line="240" w:before="0" w:after="0"/>
              <w:rPr/>
            </w:pPr>
            <w:r>
              <w:rPr>
                <w:sz w:val="22"/>
                <w:szCs w:val="22"/>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
              <w:widowControl w:val="false"/>
              <w:spacing w:lineRule="auto" w:line="240" w:before="0" w:after="0"/>
              <w:rPr/>
            </w:pPr>
            <w:r>
              <w:rPr>
                <w:sz w:val="22"/>
                <w:szCs w:val="22"/>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
              <w:widowControl w:val="false"/>
              <w:spacing w:lineRule="auto" w:line="240" w:before="0" w:after="0"/>
              <w:rPr/>
            </w:pPr>
            <w:r>
              <w:rPr>
                <w:sz w:val="22"/>
                <w:szCs w:val="22"/>
              </w:rPr>
              <w:t>2.2. Reconocer y comunicar que las bases de la Química constituyen un cuerpo de conocimiento imprescindible en un marco contextual</w:t>
            </w:r>
          </w:p>
          <w:p>
            <w:pPr>
              <w:pStyle w:val="Normal"/>
              <w:widowControl w:val="false"/>
              <w:spacing w:lineRule="auto" w:line="240" w:before="0" w:after="0"/>
              <w:rPr/>
            </w:pPr>
            <w:r>
              <w:rPr>
                <w:sz w:val="22"/>
                <w:szCs w:val="22"/>
              </w:rPr>
              <w:t>de estudio y discusión</w:t>
            </w:r>
          </w:p>
          <w:p>
            <w:pPr>
              <w:pStyle w:val="Normal"/>
              <w:widowControl w:val="false"/>
              <w:spacing w:lineRule="auto" w:line="240" w:before="0" w:after="0"/>
              <w:rPr/>
            </w:pPr>
            <w:r>
              <w:rPr>
                <w:sz w:val="22"/>
                <w:szCs w:val="22"/>
              </w:rPr>
              <w:t xml:space="preserve">de cuestiones significativas en los ámbitos social, económico, político y ético identificando la presencia e influencia de estas bases </w:t>
            </w:r>
          </w:p>
          <w:p>
            <w:pPr>
              <w:pStyle w:val="Normal"/>
              <w:widowControl w:val="false"/>
              <w:spacing w:lineRule="auto" w:line="240" w:before="0" w:after="0"/>
              <w:rPr/>
            </w:pPr>
            <w:r>
              <w:rPr>
                <w:sz w:val="22"/>
                <w:szCs w:val="22"/>
              </w:rPr>
              <w:t>en dichos ámbitos.</w:t>
            </w:r>
          </w:p>
          <w:p>
            <w:pPr>
              <w:pStyle w:val="Normal"/>
              <w:widowControl w:val="false"/>
              <w:spacing w:lineRule="auto" w:line="240" w:before="0" w:after="0"/>
              <w:rPr/>
            </w:pPr>
            <w:r>
              <w:rPr>
                <w:sz w:val="22"/>
                <w:szCs w:val="22"/>
              </w:rPr>
              <w:t>2.3. Aplicar de manera informada, coherente y razonada los modelos y leyes de la Química, explicando y prediciendo las</w:t>
            </w:r>
          </w:p>
          <w:p>
            <w:pPr>
              <w:pStyle w:val="Normal"/>
              <w:widowControl w:val="false"/>
              <w:spacing w:lineRule="auto" w:line="240" w:before="0" w:after="0"/>
              <w:rPr/>
            </w:pPr>
            <w:r>
              <w:rPr>
                <w:sz w:val="22"/>
                <w:szCs w:val="22"/>
              </w:rPr>
              <w:t>consecuencias de experimentos, fenómenos naturales, procesos industriales y descubrimientos científicos.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
              <w:widowControl w:val="false"/>
              <w:spacing w:lineRule="auto" w:line="240" w:before="0" w:after="0"/>
              <w:rPr/>
            </w:pPr>
            <w:r>
              <w:rPr>
                <w:sz w:val="22"/>
                <w:szCs w:val="22"/>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
              <w:widowControl w:val="false"/>
              <w:spacing w:lineRule="auto" w:line="240" w:before="0" w:after="0"/>
              <w:rPr/>
            </w:pPr>
            <w:r>
              <w:rPr>
                <w:sz w:val="22"/>
                <w:szCs w:val="22"/>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.5.1. Reconocer la importante contribución en la Química del trabajo colaborativo entre especialistas de diferentes disciplinas científicas poniendo de relieve las conexiones entre las leyes y teorías propias de cada disciplina.</w:t>
            </w:r>
          </w:p>
          <w:p>
            <w:pPr>
              <w:pStyle w:val="Normal"/>
              <w:widowControl w:val="false"/>
              <w:spacing w:lineRule="auto" w:line="240" w:before="0" w:after="0"/>
              <w:rPr/>
            </w:pPr>
            <w:r>
              <w:rPr>
                <w:sz w:val="22"/>
                <w:szCs w:val="22"/>
              </w:rPr>
              <w:t>5.2. Reconocer la aportación de la Química al desarrollo del pensamiento científico y a la autonomía de pensamiento crítico a través de la puesta en práctica de las metodologías de trabajo propias de las disciplinas científicas.</w:t>
            </w:r>
          </w:p>
          <w:p>
            <w:pPr>
              <w:pStyle w:val="Normal"/>
              <w:widowControl w:val="false"/>
              <w:spacing w:lineRule="auto" w:line="240" w:before="0" w:after="0"/>
              <w:rPr/>
            </w:pPr>
            <w:r>
              <w:rPr>
                <w:sz w:val="22"/>
                <w:szCs w:val="22"/>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
              <w:widowControl w:val="false"/>
              <w:spacing w:lineRule="auto" w:line="240" w:before="0" w:after="0"/>
              <w:rPr/>
            </w:pPr>
            <w:r>
              <w:rPr>
                <w:sz w:val="22"/>
                <w:szCs w:val="22"/>
              </w:rPr>
              <w:t>5.4. Representar y visualizar de forma eficiente los conceptos de Química que presenten mayores dificultades utilizando herramientas digitales y recursos variados, incluyendo experiencias de laboratorio real y virtual.</w:t>
            </w:r>
          </w:p>
          <w:p>
            <w:pPr>
              <w:pStyle w:val="Normal"/>
              <w:widowControl w:val="false"/>
              <w:spacing w:lineRule="auto" w:line="240" w:before="0" w:after="0"/>
              <w:rPr/>
            </w:pPr>
            <w:r>
              <w:rPr>
                <w:sz w:val="22"/>
                <w:szCs w:val="22"/>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
              <w:widowControl w:val="false"/>
              <w:spacing w:lineRule="auto" w:line="240" w:before="0" w:after="0"/>
              <w:rPr/>
            </w:pPr>
            <w:r>
              <w:rPr>
                <w:sz w:val="22"/>
                <w:szCs w:val="22"/>
              </w:rPr>
              <w:t>6.2. Deducir las ideas fundamentales de otras disciplinas científicas (por ejemplo, la biología o la tecnología) por medio de la relación entre sus contenidos básicos y las leyes y teorías que son propias de la Química.</w:t>
            </w:r>
          </w:p>
          <w:p>
            <w:pPr>
              <w:pStyle w:val="Normal"/>
              <w:widowControl w:val="false"/>
              <w:spacing w:lineRule="auto" w:line="240" w:before="0" w:after="0"/>
              <w:rPr/>
            </w:pPr>
            <w:r>
              <w:rPr>
                <w:sz w:val="22"/>
                <w:szCs w:val="22"/>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p>
            <w:pPr>
              <w:pStyle w:val="Normal"/>
              <w:widowControl w:val="false"/>
              <w:spacing w:lineRule="auto" w:line="240" w:before="0" w:after="0"/>
              <w:rPr>
                <w:rFonts w:ascii="Calibri" w:hAnsi="Calibri"/>
                <w:sz w:val="22"/>
                <w:szCs w:val="22"/>
              </w:rPr>
            </w:pPr>
            <w:r>
              <w:rPr>
                <w:sz w:val="22"/>
                <w:szCs w:val="22"/>
              </w:rPr>
            </w:r>
          </w:p>
        </w:tc>
      </w:tr>
      <w:tr>
        <w:trPr/>
        <w:tc>
          <w:tcPr>
            <w:tcW w:w="6105" w:type="dxa"/>
            <w:tcBorders/>
            <w:shd w:color="auto" w:fill="auto" w:val="clear"/>
          </w:tcPr>
          <w:p>
            <w:pPr>
              <w:pStyle w:val="Normal"/>
              <w:widowControl w:val="false"/>
              <w:spacing w:lineRule="auto" w:line="240" w:before="0" w:after="0"/>
              <w:rPr/>
            </w:pPr>
            <w:r>
              <w:rPr>
                <w:b/>
                <w:sz w:val="22"/>
                <w:szCs w:val="22"/>
              </w:rPr>
              <w:t>A.3. Tabla periódica y propiedades de los átomos:</w:t>
            </w:r>
          </w:p>
          <w:p>
            <w:pPr>
              <w:pStyle w:val="DC1"/>
              <w:widowControl w:val="false"/>
              <w:numPr>
                <w:ilvl w:val="0"/>
                <w:numId w:val="1"/>
              </w:numPr>
              <w:ind w:left="0" w:hanging="0"/>
              <w:rPr/>
            </w:pPr>
            <w:r>
              <w:rPr>
                <w:sz w:val="22"/>
                <w:szCs w:val="22"/>
              </w:rPr>
              <w:t>Naturaleza experimental del origen de la tabla periódica en cuanto al agrupamiento de los elementos en base a sus propiedades. La teoría atómica actual y su relación con las leyes experimentales observadas.</w:t>
            </w:r>
          </w:p>
          <w:p>
            <w:pPr>
              <w:pStyle w:val="DC1"/>
              <w:widowControl w:val="false"/>
              <w:numPr>
                <w:ilvl w:val="0"/>
                <w:numId w:val="1"/>
              </w:numPr>
              <w:ind w:left="0" w:hanging="0"/>
              <w:rPr/>
            </w:pPr>
            <w:r>
              <w:rPr>
                <w:sz w:val="22"/>
                <w:szCs w:val="22"/>
              </w:rPr>
              <w:t>Configuración electrónica de un elemento a partir de su posición en la tabla periódica.</w:t>
            </w:r>
          </w:p>
          <w:p>
            <w:pPr>
              <w:pStyle w:val="DC1"/>
              <w:widowControl w:val="false"/>
              <w:numPr>
                <w:ilvl w:val="0"/>
                <w:numId w:val="1"/>
              </w:numPr>
              <w:ind w:left="0" w:hanging="0"/>
              <w:rPr/>
            </w:pPr>
            <w:r>
              <w:rPr>
                <w:sz w:val="22"/>
                <w:szCs w:val="22"/>
              </w:rPr>
              <w:t>Tendencias periódicas. Aplicación a la predicción de los valores de las propiedades de los elementos de la tabla a partir de su posición en la misma.</w:t>
            </w:r>
          </w:p>
        </w:tc>
        <w:tc>
          <w:tcPr>
            <w:tcW w:w="4964" w:type="dxa"/>
            <w:tcBorders/>
            <w:shd w:color="auto" w:fill="auto" w:val="clear"/>
          </w:tcPr>
          <w:p>
            <w:pPr>
              <w:pStyle w:val="Normal"/>
              <w:widowControl w:val="false"/>
              <w:spacing w:lineRule="auto" w:line="240" w:before="0" w:after="0"/>
              <w:rPr/>
            </w:pPr>
            <w:r>
              <w:rPr>
                <w:sz w:val="22"/>
                <w:szCs w:val="22"/>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
              <w:widowControl w:val="false"/>
              <w:spacing w:lineRule="auto" w:line="240" w:before="0" w:after="0"/>
              <w:rPr/>
            </w:pPr>
            <w:r>
              <w:rPr>
                <w:sz w:val="22"/>
                <w:szCs w:val="22"/>
              </w:rPr>
              <w:t>1.2. Describir los principales procesos químicos que suceden en el entorno y las propiedades de los sistemas materiales a partir de los conocimientos, destrezas y actitudes propios de las distintas disciplinas de la Química.</w:t>
            </w:r>
          </w:p>
          <w:p>
            <w:pPr>
              <w:pStyle w:val="Normal"/>
              <w:widowControl w:val="false"/>
              <w:spacing w:lineRule="auto" w:line="240" w:before="0" w:after="0"/>
              <w:rPr/>
            </w:pPr>
            <w:r>
              <w:rPr>
                <w:sz w:val="22"/>
                <w:szCs w:val="22"/>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
              <w:widowControl w:val="false"/>
              <w:spacing w:lineRule="auto" w:line="240" w:before="0" w:after="0"/>
              <w:rPr/>
            </w:pPr>
            <w:r>
              <w:rPr>
                <w:sz w:val="22"/>
                <w:szCs w:val="22"/>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
              <w:widowControl w:val="false"/>
              <w:spacing w:lineRule="auto" w:line="240" w:before="0" w:after="0"/>
              <w:rPr/>
            </w:pPr>
            <w:r>
              <w:rPr>
                <w:sz w:val="22"/>
                <w:szCs w:val="22"/>
              </w:rPr>
              <w:t>2.2. Reconocer y comunicar que las bases de la Química constituyen un cuerpo de conocimiento imprescindible en un marco contextual</w:t>
            </w:r>
          </w:p>
          <w:p>
            <w:pPr>
              <w:pStyle w:val="Normal"/>
              <w:widowControl w:val="false"/>
              <w:spacing w:lineRule="auto" w:line="240" w:before="0" w:after="0"/>
              <w:rPr/>
            </w:pPr>
            <w:r>
              <w:rPr>
                <w:sz w:val="22"/>
                <w:szCs w:val="22"/>
              </w:rPr>
              <w:t>de estudio y discusión</w:t>
            </w:r>
          </w:p>
          <w:p>
            <w:pPr>
              <w:pStyle w:val="Normal"/>
              <w:widowControl w:val="false"/>
              <w:spacing w:lineRule="auto" w:line="240" w:before="0" w:after="0"/>
              <w:rPr/>
            </w:pPr>
            <w:r>
              <w:rPr>
                <w:sz w:val="22"/>
                <w:szCs w:val="22"/>
              </w:rPr>
              <w:t xml:space="preserve">de cuestiones significativas en los ámbitos social, económico, político y ético identificando la presencia e influencia de estas bases </w:t>
            </w:r>
          </w:p>
          <w:p>
            <w:pPr>
              <w:pStyle w:val="Normal"/>
              <w:widowControl w:val="false"/>
              <w:spacing w:lineRule="auto" w:line="240" w:before="0" w:after="0"/>
              <w:rPr/>
            </w:pPr>
            <w:r>
              <w:rPr>
                <w:sz w:val="22"/>
                <w:szCs w:val="22"/>
              </w:rPr>
              <w:t>en dichos ámbitos.</w:t>
            </w:r>
          </w:p>
          <w:p>
            <w:pPr>
              <w:pStyle w:val="Normal"/>
              <w:widowControl w:val="false"/>
              <w:spacing w:lineRule="auto" w:line="240" w:before="0" w:after="0"/>
              <w:rPr/>
            </w:pPr>
            <w:r>
              <w:rPr>
                <w:sz w:val="22"/>
                <w:szCs w:val="22"/>
              </w:rPr>
              <w:t>2.3. Aplicar de manera informada, coherente y razonada los modelos y leyes de la Química, explicando y prediciendo las</w:t>
            </w:r>
          </w:p>
          <w:p>
            <w:pPr>
              <w:pStyle w:val="Normal"/>
              <w:widowControl w:val="false"/>
              <w:spacing w:lineRule="auto" w:line="240" w:before="0" w:after="0"/>
              <w:rPr/>
            </w:pPr>
            <w:r>
              <w:rPr>
                <w:sz w:val="22"/>
                <w:szCs w:val="22"/>
              </w:rPr>
              <w:t>consecuencias de experimentos, fenómenos naturales, procesos industriales y descubrimientos científicos.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
              <w:widowControl w:val="false"/>
              <w:spacing w:lineRule="auto" w:line="240" w:before="0" w:after="0"/>
              <w:rPr/>
            </w:pPr>
            <w:r>
              <w:rPr>
                <w:sz w:val="22"/>
                <w:szCs w:val="22"/>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
              <w:widowControl w:val="false"/>
              <w:spacing w:lineRule="auto" w:line="240" w:before="0" w:after="0"/>
              <w:rPr/>
            </w:pPr>
            <w:r>
              <w:rPr>
                <w:sz w:val="22"/>
                <w:szCs w:val="22"/>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.5.1. Reconocer la importante contribución en la Química del trabajo colaborativo entre especialistas de diferentes disciplinas científicas poniendo de relieve las conexiones entre las leyes y teorías propias de cada disciplina.</w:t>
            </w:r>
          </w:p>
          <w:p>
            <w:pPr>
              <w:pStyle w:val="Normal"/>
              <w:widowControl w:val="false"/>
              <w:spacing w:lineRule="auto" w:line="240" w:before="0" w:after="0"/>
              <w:rPr/>
            </w:pPr>
            <w:r>
              <w:rPr>
                <w:sz w:val="22"/>
                <w:szCs w:val="22"/>
              </w:rPr>
              <w:t>5.2. Reconocer la aportación de la Química al desarrollo del pensamiento científico y a la autonomía de pensamiento crítico a través de la puesta en práctica de las metodologías de trabajo propias de las disciplinas científicas.</w:t>
            </w:r>
          </w:p>
          <w:p>
            <w:pPr>
              <w:pStyle w:val="Normal"/>
              <w:widowControl w:val="false"/>
              <w:spacing w:lineRule="auto" w:line="240" w:before="0" w:after="0"/>
              <w:rPr/>
            </w:pPr>
            <w:r>
              <w:rPr>
                <w:sz w:val="22"/>
                <w:szCs w:val="22"/>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
              <w:widowControl w:val="false"/>
              <w:spacing w:lineRule="auto" w:line="240" w:before="0" w:after="0"/>
              <w:rPr/>
            </w:pPr>
            <w:r>
              <w:rPr>
                <w:sz w:val="22"/>
                <w:szCs w:val="22"/>
              </w:rPr>
              <w:t>5.4. Representar y visualizar de forma eficiente los conceptos de Química que presenten mayores dificultades utilizando herramientas digitales y recursos variados, incluyendo experiencias de laboratorio real y virtual.</w:t>
            </w:r>
          </w:p>
          <w:p>
            <w:pPr>
              <w:pStyle w:val="Normal"/>
              <w:widowControl w:val="false"/>
              <w:spacing w:lineRule="auto" w:line="240" w:before="0" w:after="0"/>
              <w:rPr/>
            </w:pPr>
            <w:r>
              <w:rPr>
                <w:sz w:val="22"/>
                <w:szCs w:val="22"/>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
              <w:widowControl w:val="false"/>
              <w:spacing w:lineRule="auto" w:line="240" w:before="0" w:after="0"/>
              <w:rPr/>
            </w:pPr>
            <w:r>
              <w:rPr>
                <w:sz w:val="22"/>
                <w:szCs w:val="22"/>
              </w:rPr>
              <w:t>6.2. Deducir las ideas fundamentales de otras disciplinas científicas (por ejemplo, la biología o la tecnología) por medio de la relación entre sus contenidos básicos y las leyes y teorías que son propias de la Química.</w:t>
            </w:r>
          </w:p>
          <w:p>
            <w:pPr>
              <w:pStyle w:val="Normal"/>
              <w:widowControl w:val="false"/>
              <w:spacing w:lineRule="auto" w:line="240" w:before="0" w:after="0"/>
              <w:rPr/>
            </w:pPr>
            <w:r>
              <w:rPr>
                <w:sz w:val="22"/>
                <w:szCs w:val="22"/>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p>
            <w:pPr>
              <w:pStyle w:val="Normal"/>
              <w:widowControl w:val="false"/>
              <w:spacing w:lineRule="auto" w:line="240" w:before="0" w:after="0"/>
              <w:rPr>
                <w:rFonts w:ascii="Calibri" w:hAnsi="Calibri"/>
                <w:sz w:val="22"/>
                <w:szCs w:val="22"/>
              </w:rPr>
            </w:pPr>
            <w:r>
              <w:rPr>
                <w:sz w:val="22"/>
                <w:szCs w:val="22"/>
              </w:rPr>
            </w:r>
          </w:p>
        </w:tc>
      </w:tr>
      <w:tr>
        <w:trPr/>
        <w:tc>
          <w:tcPr>
            <w:tcW w:w="6105" w:type="dxa"/>
            <w:tcBorders/>
            <w:shd w:color="auto" w:fill="auto" w:val="clear"/>
          </w:tcPr>
          <w:p>
            <w:pPr>
              <w:pStyle w:val="Normal"/>
              <w:widowControl w:val="false"/>
              <w:spacing w:lineRule="auto" w:line="240" w:before="0" w:after="0"/>
              <w:rPr/>
            </w:pPr>
            <w:r>
              <w:rPr>
                <w:b/>
                <w:sz w:val="22"/>
                <w:szCs w:val="22"/>
              </w:rPr>
              <w:t>A.4. Enlace químico y fuerzas intermoleculares:</w:t>
            </w:r>
          </w:p>
          <w:p>
            <w:pPr>
              <w:pStyle w:val="DC1"/>
              <w:widowControl w:val="false"/>
              <w:numPr>
                <w:ilvl w:val="0"/>
                <w:numId w:val="1"/>
              </w:numPr>
              <w:ind w:left="0" w:hanging="0"/>
              <w:rPr/>
            </w:pPr>
            <w:r>
              <w:rPr>
                <w:sz w:val="22"/>
                <w:szCs w:val="22"/>
              </w:rPr>
              <w:t>Tipos de enlace a partir de las características de los elementos individuales que lo forman. Energía implicada en la formación de moléculas, de cristales y de estructuras macroscópicas. Propiedades de las sustancias Químicas.</w:t>
            </w:r>
          </w:p>
          <w:p>
            <w:pPr>
              <w:pStyle w:val="DC1"/>
              <w:widowControl w:val="false"/>
              <w:numPr>
                <w:ilvl w:val="0"/>
                <w:numId w:val="1"/>
              </w:numPr>
              <w:ind w:left="0" w:hanging="0"/>
              <w:rPr/>
            </w:pPr>
            <w:r>
              <w:rPr>
                <w:sz w:val="22"/>
                <w:szCs w:val="22"/>
              </w:rPr>
              <w:t>Modelos de Lewis, RPECV e hibridación de orbitales. Configuración geométrica de sustancias moleculares y las características de los sólidos.</w:t>
            </w:r>
          </w:p>
          <w:p>
            <w:pPr>
              <w:pStyle w:val="DC1"/>
              <w:widowControl w:val="false"/>
              <w:numPr>
                <w:ilvl w:val="0"/>
                <w:numId w:val="1"/>
              </w:numPr>
              <w:ind w:left="0" w:hanging="0"/>
              <w:rPr/>
            </w:pPr>
            <w:r>
              <w:rPr>
                <w:sz w:val="22"/>
                <w:szCs w:val="22"/>
              </w:rPr>
              <w:t>Ciclo de Born-Haber. Energía intercambiada en la formación de cristales iónicos.</w:t>
            </w:r>
          </w:p>
          <w:p>
            <w:pPr>
              <w:pStyle w:val="DC1"/>
              <w:widowControl w:val="false"/>
              <w:numPr>
                <w:ilvl w:val="0"/>
                <w:numId w:val="1"/>
              </w:numPr>
              <w:ind w:left="0" w:hanging="0"/>
              <w:rPr/>
            </w:pPr>
            <w:r>
              <w:rPr>
                <w:sz w:val="22"/>
                <w:szCs w:val="22"/>
              </w:rPr>
              <w:t>Modelos de la nube electrónica y la teoría de bandas para explicar las propiedades características de los cristales metálicos.</w:t>
            </w:r>
          </w:p>
          <w:p>
            <w:pPr>
              <w:pStyle w:val="DC1"/>
              <w:widowControl w:val="false"/>
              <w:numPr>
                <w:ilvl w:val="0"/>
                <w:numId w:val="1"/>
              </w:numPr>
              <w:ind w:left="0" w:hanging="0"/>
              <w:rPr/>
            </w:pPr>
            <w:r>
              <w:rPr>
                <w:sz w:val="22"/>
                <w:szCs w:val="22"/>
              </w:rPr>
              <w:t>Fuerzas intermoleculares a partir de las características del enlace químico y la geometría de las moléculas. Propiedades macroscópicas de sustancias moleculares</w:t>
            </w:r>
          </w:p>
        </w:tc>
        <w:tc>
          <w:tcPr>
            <w:tcW w:w="4964" w:type="dxa"/>
            <w:tcBorders/>
            <w:shd w:color="auto" w:fill="auto" w:val="clear"/>
          </w:tcPr>
          <w:p>
            <w:pPr>
              <w:pStyle w:val="Normal"/>
              <w:widowControl w:val="false"/>
              <w:spacing w:lineRule="auto" w:line="240" w:before="0" w:after="0"/>
              <w:rPr/>
            </w:pPr>
            <w:r>
              <w:rPr>
                <w:sz w:val="22"/>
                <w:szCs w:val="22"/>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
              <w:widowControl w:val="false"/>
              <w:spacing w:lineRule="auto" w:line="240" w:before="0" w:after="0"/>
              <w:rPr/>
            </w:pPr>
            <w:r>
              <w:rPr>
                <w:sz w:val="22"/>
                <w:szCs w:val="22"/>
              </w:rPr>
              <w:t>1.2. Describir los principales procesos químicos que suceden en el entorno y las propiedades de los sistemas materiales a partir de los conocimientos, destrezas y actitudes propios de las distintas disciplinas de la Química.</w:t>
            </w:r>
          </w:p>
          <w:p>
            <w:pPr>
              <w:pStyle w:val="Normal"/>
              <w:widowControl w:val="false"/>
              <w:spacing w:lineRule="auto" w:line="240" w:before="0" w:after="0"/>
              <w:rPr/>
            </w:pPr>
            <w:r>
              <w:rPr>
                <w:sz w:val="22"/>
                <w:szCs w:val="22"/>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
              <w:widowControl w:val="false"/>
              <w:spacing w:lineRule="auto" w:line="240" w:before="0" w:after="0"/>
              <w:rPr/>
            </w:pPr>
            <w:r>
              <w:rPr>
                <w:sz w:val="22"/>
                <w:szCs w:val="22"/>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
              <w:widowControl w:val="false"/>
              <w:spacing w:lineRule="auto" w:line="240" w:before="0" w:after="0"/>
              <w:rPr/>
            </w:pPr>
            <w:r>
              <w:rPr>
                <w:sz w:val="22"/>
                <w:szCs w:val="22"/>
              </w:rPr>
              <w:t>2.2. Reconocer y comunicar que las bases de la Química constituyen un cuerpo de conocimiento imprescindible en un marco contextual</w:t>
            </w:r>
          </w:p>
          <w:p>
            <w:pPr>
              <w:pStyle w:val="Normal"/>
              <w:widowControl w:val="false"/>
              <w:spacing w:lineRule="auto" w:line="240" w:before="0" w:after="0"/>
              <w:rPr/>
            </w:pPr>
            <w:r>
              <w:rPr>
                <w:sz w:val="22"/>
                <w:szCs w:val="22"/>
              </w:rPr>
              <w:t>de estudio y discusión</w:t>
            </w:r>
          </w:p>
          <w:p>
            <w:pPr>
              <w:pStyle w:val="Normal"/>
              <w:widowControl w:val="false"/>
              <w:spacing w:lineRule="auto" w:line="240" w:before="0" w:after="0"/>
              <w:rPr/>
            </w:pPr>
            <w:r>
              <w:rPr>
                <w:sz w:val="22"/>
                <w:szCs w:val="22"/>
              </w:rPr>
              <w:t xml:space="preserve">de cuestiones significativas en los ámbitos social, económico, político y ético identificando la presencia e influencia de estas bases </w:t>
            </w:r>
          </w:p>
          <w:p>
            <w:pPr>
              <w:pStyle w:val="Normal"/>
              <w:widowControl w:val="false"/>
              <w:spacing w:lineRule="auto" w:line="240" w:before="0" w:after="0"/>
              <w:rPr/>
            </w:pPr>
            <w:r>
              <w:rPr>
                <w:sz w:val="22"/>
                <w:szCs w:val="22"/>
              </w:rPr>
              <w:t>en dichos ámbitos.</w:t>
            </w:r>
          </w:p>
          <w:p>
            <w:pPr>
              <w:pStyle w:val="Normal"/>
              <w:widowControl w:val="false"/>
              <w:spacing w:lineRule="auto" w:line="240" w:before="0" w:after="0"/>
              <w:rPr/>
            </w:pPr>
            <w:r>
              <w:rPr>
                <w:sz w:val="22"/>
                <w:szCs w:val="22"/>
              </w:rPr>
              <w:t>2.3. Aplicar de manera informada, coherente y razonada los modelos y leyes de la Química, explicando y prediciendo las</w:t>
            </w:r>
          </w:p>
          <w:p>
            <w:pPr>
              <w:pStyle w:val="Normal"/>
              <w:widowControl w:val="false"/>
              <w:spacing w:lineRule="auto" w:line="240" w:before="0" w:after="0"/>
              <w:rPr/>
            </w:pPr>
            <w:r>
              <w:rPr>
                <w:sz w:val="22"/>
                <w:szCs w:val="22"/>
              </w:rPr>
              <w:t>consecuencias de experimentos, fenómenos naturales, procesos industriales y descubrimientos científicos.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
              <w:widowControl w:val="false"/>
              <w:spacing w:lineRule="auto" w:line="240" w:before="0" w:after="0"/>
              <w:rPr/>
            </w:pPr>
            <w:r>
              <w:rPr>
                <w:sz w:val="22"/>
                <w:szCs w:val="22"/>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
              <w:widowControl w:val="false"/>
              <w:spacing w:lineRule="auto" w:line="240" w:before="0" w:after="0"/>
              <w:rPr/>
            </w:pPr>
            <w:r>
              <w:rPr>
                <w:sz w:val="22"/>
                <w:szCs w:val="22"/>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pPr>
            <w:r>
              <w:rPr>
                <w:sz w:val="22"/>
                <w:szCs w:val="22"/>
              </w:rPr>
              <w:t>.5.1. Reconocer la importante contribución en la Química del trabajo colaborativo entre especialistas de diferentes disciplinas científicas poniendo de relieve las conexiones entre las leyes y teorías propias de cada disciplina.</w:t>
            </w:r>
          </w:p>
          <w:p>
            <w:pPr>
              <w:pStyle w:val="Normal"/>
              <w:widowControl w:val="false"/>
              <w:spacing w:lineRule="auto" w:line="240" w:before="0" w:after="0"/>
              <w:rPr/>
            </w:pPr>
            <w:r>
              <w:rPr>
                <w:sz w:val="22"/>
                <w:szCs w:val="22"/>
              </w:rPr>
              <w:t>5.2. Reconocer la aportación de la Química al desarrollo del pensamiento científico y a la autonomía de pensamiento crítico a través de la puesta en práctica de las metodologías de trabajo propias de las disciplinas científicas.</w:t>
            </w:r>
          </w:p>
          <w:p>
            <w:pPr>
              <w:pStyle w:val="Normal"/>
              <w:widowControl w:val="false"/>
              <w:spacing w:lineRule="auto" w:line="240" w:before="0" w:after="0"/>
              <w:rPr/>
            </w:pPr>
            <w:r>
              <w:rPr>
                <w:sz w:val="22"/>
                <w:szCs w:val="22"/>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
              <w:widowControl w:val="false"/>
              <w:spacing w:lineRule="auto" w:line="240" w:before="0" w:after="0"/>
              <w:rPr/>
            </w:pPr>
            <w:r>
              <w:rPr>
                <w:sz w:val="22"/>
                <w:szCs w:val="22"/>
              </w:rPr>
              <w:t>5.4. Representar y visualizar de forma eficiente los conceptos de Química que presenten mayores dificultades utilizando herramientas digitales y recursos variados, incluyendo experiencias de laboratorio real y virtual.</w:t>
            </w:r>
          </w:p>
          <w:p>
            <w:pPr>
              <w:pStyle w:val="Normal"/>
              <w:widowControl w:val="false"/>
              <w:spacing w:lineRule="auto" w:line="240" w:before="0" w:after="0"/>
              <w:rPr/>
            </w:pPr>
            <w:r>
              <w:rPr>
                <w:sz w:val="22"/>
                <w:szCs w:val="22"/>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
              <w:widowControl w:val="false"/>
              <w:spacing w:lineRule="auto" w:line="240" w:before="0" w:after="0"/>
              <w:rPr/>
            </w:pPr>
            <w:r>
              <w:rPr>
                <w:sz w:val="22"/>
                <w:szCs w:val="22"/>
              </w:rPr>
              <w:t>6.2. Deducir las ideas fundamentales de otras disciplinas científicas (por ejemplo, la biología o la tecnología) por medio de la relación entre sus contenidos básicos y las leyes y teorías que son propias de la Química.</w:t>
            </w:r>
          </w:p>
          <w:p>
            <w:pPr>
              <w:pStyle w:val="Normal"/>
              <w:widowControl w:val="false"/>
              <w:spacing w:lineRule="auto" w:line="240" w:before="0" w:after="0"/>
              <w:rPr/>
            </w:pPr>
            <w:r>
              <w:rPr>
                <w:sz w:val="22"/>
                <w:szCs w:val="22"/>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p>
            <w:pPr>
              <w:pStyle w:val="Normal"/>
              <w:widowControl w:val="false"/>
              <w:spacing w:lineRule="auto" w:line="240" w:before="0" w:after="0"/>
              <w:rPr>
                <w:rFonts w:ascii="Calibri" w:hAnsi="Calibri"/>
                <w:sz w:val="22"/>
                <w:szCs w:val="22"/>
              </w:rPr>
            </w:pPr>
            <w:r>
              <w:rPr>
                <w:sz w:val="22"/>
                <w:szCs w:val="22"/>
              </w:rPr>
            </w:r>
          </w:p>
        </w:tc>
      </w:tr>
      <w:tr>
        <w:trPr/>
        <w:tc>
          <w:tcPr>
            <w:tcW w:w="11069" w:type="dxa"/>
            <w:gridSpan w:val="2"/>
            <w:tcBorders/>
            <w:shd w:color="auto" w:fill="92CDDC" w:themeFill="accent5" w:themeFillTint="99" w:val="clear"/>
          </w:tcPr>
          <w:p>
            <w:pPr>
              <w:pStyle w:val="Normal"/>
              <w:widowControl w:val="false"/>
              <w:spacing w:lineRule="auto" w:line="240" w:before="0" w:after="0"/>
              <w:jc w:val="center"/>
              <w:rPr/>
            </w:pPr>
            <w:r>
              <w:rPr>
                <w:b/>
                <w:sz w:val="22"/>
                <w:szCs w:val="22"/>
              </w:rPr>
              <w:t>B. Reacciones químicas</w:t>
            </w:r>
          </w:p>
        </w:tc>
      </w:tr>
      <w:tr>
        <w:trPr/>
        <w:tc>
          <w:tcPr>
            <w:tcW w:w="11069" w:type="dxa"/>
            <w:gridSpan w:val="2"/>
            <w:tcBorders/>
            <w:shd w:color="auto" w:fill="DBE5F1" w:themeFill="accent1" w:themeFillTint="33" w:val="clear"/>
          </w:tcPr>
          <w:p>
            <w:pPr>
              <w:pStyle w:val="Normal"/>
              <w:widowControl w:val="false"/>
              <w:spacing w:lineRule="auto" w:line="240" w:before="0" w:after="0"/>
              <w:rPr/>
            </w:pPr>
            <w:r>
              <w:rPr>
                <w:sz w:val="22"/>
                <w:szCs w:val="22"/>
              </w:rPr>
              <w:t>En este bloque se profundiza en el concepto de reacción química, estudiando sus aspectos energéticos (termoquímica), dinámicos (cinética) y de equilibrio (equilibrio químico). Se analiza el calor intercambiado y su espontaneidad, así́ como los factores que modifican tanto la velocidad de reacción como el desplazamiento de su equilibrio. Así mismo se estudian los equilibrios de solubilidad, ácido base y de reducción-oxidación.</w:t>
            </w:r>
          </w:p>
        </w:tc>
      </w:tr>
      <w:tr>
        <w:trPr/>
        <w:tc>
          <w:tcPr>
            <w:tcW w:w="6105" w:type="dxa"/>
            <w:tcBorders/>
            <w:shd w:color="auto" w:fill="D9D9D9" w:themeFill="background1" w:themeFillShade="d9" w:val="clear"/>
          </w:tcPr>
          <w:p>
            <w:pPr>
              <w:pStyle w:val="Normal"/>
              <w:widowControl w:val="false"/>
              <w:spacing w:lineRule="auto" w:line="240" w:before="0" w:after="0"/>
              <w:jc w:val="center"/>
              <w:rPr/>
            </w:pPr>
            <w:r>
              <w:rPr>
                <w:i/>
                <w:sz w:val="22"/>
                <w:szCs w:val="22"/>
              </w:rPr>
              <w:t>Conocimientos, destrezas y actitudes</w:t>
            </w:r>
          </w:p>
        </w:tc>
        <w:tc>
          <w:tcPr>
            <w:tcW w:w="4964" w:type="dxa"/>
            <w:tcBorders/>
            <w:shd w:color="auto" w:fill="D9D9D9" w:themeFill="background1" w:themeFillShade="d9" w:val="clear"/>
          </w:tcPr>
          <w:p>
            <w:pPr>
              <w:pStyle w:val="Normal"/>
              <w:widowControl w:val="false"/>
              <w:spacing w:lineRule="auto" w:line="240" w:before="0" w:after="0"/>
              <w:jc w:val="center"/>
              <w:rPr/>
            </w:pPr>
            <w:r>
              <w:rPr>
                <w:i/>
                <w:sz w:val="22"/>
                <w:szCs w:val="22"/>
              </w:rPr>
              <w:t xml:space="preserve">Criterios de evaluación </w:t>
            </w:r>
          </w:p>
        </w:tc>
      </w:tr>
      <w:tr>
        <w:trPr/>
        <w:tc>
          <w:tcPr>
            <w:tcW w:w="6105" w:type="dxa"/>
            <w:tcBorders/>
            <w:shd w:color="auto" w:fill="auto" w:val="clear"/>
          </w:tcPr>
          <w:p>
            <w:pPr>
              <w:pStyle w:val="Normal"/>
              <w:widowControl w:val="false"/>
              <w:spacing w:lineRule="auto" w:line="240" w:before="0" w:after="0"/>
              <w:rPr/>
            </w:pPr>
            <w:r>
              <w:rPr>
                <w:b/>
                <w:sz w:val="22"/>
                <w:szCs w:val="22"/>
              </w:rPr>
              <w:t>Unidad . Termodinámica química:</w:t>
            </w:r>
          </w:p>
          <w:p>
            <w:pPr>
              <w:pStyle w:val="DC1"/>
              <w:widowControl w:val="false"/>
              <w:numPr>
                <w:ilvl w:val="0"/>
                <w:numId w:val="1"/>
              </w:numPr>
              <w:ind w:left="0" w:hanging="0"/>
              <w:rPr/>
            </w:pPr>
            <w:r>
              <w:rPr>
                <w:sz w:val="22"/>
                <w:szCs w:val="22"/>
              </w:rPr>
              <w:t>Primer principio de la termodinámica: intercambios de energía entre sistemas a través del calor y del trabajo.</w:t>
            </w:r>
          </w:p>
          <w:p>
            <w:pPr>
              <w:pStyle w:val="DC1"/>
              <w:widowControl w:val="false"/>
              <w:numPr>
                <w:ilvl w:val="0"/>
                <w:numId w:val="1"/>
              </w:numPr>
              <w:ind w:left="0" w:hanging="0"/>
              <w:rPr/>
            </w:pPr>
            <w:r>
              <w:rPr>
                <w:sz w:val="22"/>
                <w:szCs w:val="22"/>
              </w:rPr>
              <w:t>Ecuaciones termoquímicas. Concepto de entalpía de reacción. Procesos endotérmicos y exotérmicos.</w:t>
            </w:r>
          </w:p>
          <w:p>
            <w:pPr>
              <w:pStyle w:val="DC1"/>
              <w:widowControl w:val="false"/>
              <w:numPr>
                <w:ilvl w:val="0"/>
                <w:numId w:val="1"/>
              </w:numPr>
              <w:ind w:left="0" w:hanging="0"/>
              <w:rPr/>
            </w:pPr>
            <w:r>
              <w:rPr>
                <w:sz w:val="22"/>
                <w:szCs w:val="22"/>
              </w:rPr>
              <w:t>Balance energético entre productos y reactivos mediante la ley de Hess, a través de la entalpía de formación estándar o de las energías de enlace, para obtener la entalpía de una reacción.</w:t>
            </w:r>
          </w:p>
          <w:p>
            <w:pPr>
              <w:pStyle w:val="DC1"/>
              <w:widowControl w:val="false"/>
              <w:numPr>
                <w:ilvl w:val="0"/>
                <w:numId w:val="1"/>
              </w:numPr>
              <w:ind w:left="0" w:hanging="0"/>
              <w:rPr/>
            </w:pPr>
            <w:r>
              <w:rPr>
                <w:sz w:val="22"/>
                <w:szCs w:val="22"/>
              </w:rPr>
              <w:t>Segundo principio de la termodinámica. La entropía como magnitud que afecta a la espontaneidad e irreversibilidad de los procesos químicos.</w:t>
            </w:r>
          </w:p>
          <w:p>
            <w:pPr>
              <w:pStyle w:val="DC1"/>
              <w:widowControl w:val="false"/>
              <w:numPr>
                <w:ilvl w:val="0"/>
                <w:numId w:val="1"/>
              </w:numPr>
              <w:ind w:left="0" w:hanging="0"/>
              <w:rPr/>
            </w:pPr>
            <w:r>
              <w:rPr>
                <w:sz w:val="22"/>
                <w:szCs w:val="22"/>
              </w:rPr>
              <w:t>Cálculo de la energía de Gibbs de las reacciones Químicas y espontaneidad de las mismas en función de la temperatura del sistema.</w:t>
            </w:r>
          </w:p>
        </w:tc>
        <w:tc>
          <w:tcPr>
            <w:tcW w:w="4964" w:type="dxa"/>
            <w:tcBorders/>
            <w:shd w:color="auto" w:fill="auto" w:val="clear"/>
          </w:tcPr>
          <w:p>
            <w:pPr>
              <w:pStyle w:val="NormalWeb"/>
              <w:widowControl w:val="false"/>
              <w:spacing w:beforeAutospacing="0" w:before="0" w:afterAutospacing="0" w:after="0"/>
              <w:jc w:val="both"/>
              <w:rPr/>
            </w:pPr>
            <w:r>
              <w:rPr>
                <w:rFonts w:cs="Calibri" w:ascii="Calibri" w:hAnsi="Calibri"/>
                <w:color w:val="000000"/>
                <w:sz w:val="22"/>
                <w:szCs w:val="22"/>
                <w:highlight w:val="white"/>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Web"/>
              <w:widowControl w:val="false"/>
              <w:spacing w:beforeAutospacing="0" w:before="0" w:afterAutospacing="0" w:after="0"/>
              <w:jc w:val="both"/>
              <w:rPr/>
            </w:pPr>
            <w:r>
              <w:rPr>
                <w:rFonts w:cs="Calibri" w:ascii="Calibri" w:hAnsi="Calibri"/>
                <w:color w:val="000000"/>
                <w:sz w:val="22"/>
                <w:szCs w:val="22"/>
                <w:highlight w:val="white"/>
              </w:rPr>
              <w:t>1.2. Describir los principales procesos químicos que suceden en el entorno y las propiedades de los sistemas materiales a partir de los conocimientos, destrezas y actitudes propios de las distintas disciplinas de la Química.</w:t>
            </w:r>
          </w:p>
          <w:p>
            <w:pPr>
              <w:pStyle w:val="NormalWeb"/>
              <w:widowControl w:val="false"/>
              <w:spacing w:beforeAutospacing="0" w:before="0" w:afterAutospacing="0" w:after="0"/>
              <w:jc w:val="both"/>
              <w:rPr/>
            </w:pPr>
            <w:r>
              <w:rPr>
                <w:rFonts w:cs="Calibri" w:ascii="Calibri" w:hAnsi="Calibri"/>
                <w:color w:val="000000"/>
                <w:sz w:val="22"/>
                <w:szCs w:val="22"/>
                <w:highlight w:val="white"/>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Web"/>
              <w:widowControl w:val="false"/>
              <w:spacing w:beforeAutospacing="0" w:before="0" w:afterAutospacing="0" w:after="0"/>
              <w:jc w:val="both"/>
              <w:rPr/>
            </w:pPr>
            <w:r>
              <w:rPr>
                <w:rFonts w:cs="Calibri" w:ascii="Calibri" w:hAnsi="Calibri"/>
                <w:color w:val="000000"/>
                <w:sz w:val="22"/>
                <w:szCs w:val="22"/>
                <w:highlight w:val="white"/>
              </w:rPr>
              <w:t xml:space="preserve">2.2. Reconocer y comunicar que las bases de la Química constituyen un cuerpo de conocimiento imprescindible en un marco contextualde estudio y discusión de cuestiones significativas en los ámbitos social, económico, político y ético identificando la presencia e influencia de estas bases </w:t>
            </w:r>
          </w:p>
          <w:p>
            <w:pPr>
              <w:pStyle w:val="NormalWeb"/>
              <w:widowControl w:val="false"/>
              <w:spacing w:beforeAutospacing="0" w:before="0" w:afterAutospacing="0" w:after="0"/>
              <w:jc w:val="both"/>
              <w:rPr/>
            </w:pPr>
            <w:r>
              <w:rPr>
                <w:rFonts w:cs="Calibri" w:ascii="Calibri" w:hAnsi="Calibri"/>
                <w:color w:val="000000"/>
                <w:sz w:val="22"/>
                <w:szCs w:val="22"/>
                <w:highlight w:val="white"/>
              </w:rPr>
              <w:t>en dichos ámbitos.</w:t>
            </w:r>
          </w:p>
          <w:p>
            <w:pPr>
              <w:pStyle w:val="NormalWeb"/>
              <w:widowControl w:val="false"/>
              <w:spacing w:beforeAutospacing="0" w:before="0" w:afterAutospacing="0" w:after="0"/>
              <w:jc w:val="both"/>
              <w:rPr/>
            </w:pPr>
            <w:r>
              <w:rPr>
                <w:rFonts w:cs="Calibri" w:ascii="Calibri" w:hAnsi="Calibri"/>
                <w:color w:val="000000"/>
                <w:sz w:val="22"/>
                <w:szCs w:val="22"/>
                <w:highlight w:val="white"/>
              </w:rPr>
              <w:t>2.3. Aplicar de manera informada, coherente y razonada los modelos y leyes de la Química, explicando y prediciendo las</w:t>
            </w:r>
          </w:p>
          <w:p>
            <w:pPr>
              <w:pStyle w:val="NormalWeb"/>
              <w:widowControl w:val="false"/>
              <w:spacing w:beforeAutospacing="0" w:before="0" w:afterAutospacing="0" w:after="0"/>
              <w:jc w:val="both"/>
              <w:rPr/>
            </w:pPr>
            <w:r>
              <w:rPr>
                <w:rFonts w:cs="Calibri" w:ascii="Calibri" w:hAnsi="Calibri"/>
                <w:color w:val="000000"/>
                <w:sz w:val="22"/>
                <w:szCs w:val="22"/>
                <w:highlight w:val="white"/>
              </w:rPr>
              <w:t>consecuencias de experimentos, fenómenos naturales, procesos industriales y descubrimientos científicos.</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3.1. Utilizar correctamente las normas de nomenclatura de la IUPAC como base de un lenguaje universal para la Química que permita una comunicación efectiva en toda la comunidad científica, aplicando dichas normas al reconocimiento y escritura de fórmulas y nombres de diferentes especies Químicas.</w:t>
            </w:r>
          </w:p>
          <w:p>
            <w:pPr>
              <w:pStyle w:val="NormalWeb"/>
              <w:widowControl w:val="false"/>
              <w:spacing w:beforeAutospacing="0" w:before="0" w:afterAutospacing="0" w:after="0"/>
              <w:jc w:val="both"/>
              <w:rPr/>
            </w:pPr>
            <w:r>
              <w:rPr>
                <w:rFonts w:cs="Calibri" w:ascii="Calibri" w:hAnsi="Calibri"/>
                <w:color w:val="000000"/>
                <w:sz w:val="22"/>
                <w:szCs w:val="22"/>
                <w:highlight w:val="white"/>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Web"/>
              <w:widowControl w:val="false"/>
              <w:spacing w:beforeAutospacing="0" w:before="0" w:afterAutospacing="0" w:after="0"/>
              <w:jc w:val="both"/>
              <w:rPr/>
            </w:pPr>
            <w:r>
              <w:rPr>
                <w:rFonts w:cs="Calibri" w:ascii="Calibri" w:hAnsi="Calibri"/>
                <w:color w:val="000000"/>
                <w:sz w:val="22"/>
                <w:szCs w:val="22"/>
                <w:highlight w:val="white"/>
              </w:rPr>
              <w:t>3.3. Practicar y hacer respetar las normas de seguridad relacionadas con la manipulación de sustancias Químicas en el laboratorio y en otros entornos, así como los procedimientos para la correcta gestión y eliminación de los residuos, utilizando correctamente los códigos de comunicación característicos de la Química.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Web"/>
              <w:widowControl w:val="false"/>
              <w:spacing w:beforeAutospacing="0" w:before="0" w:afterAutospacing="0" w:after="0"/>
              <w:jc w:val="both"/>
              <w:rPr/>
            </w:pPr>
            <w:r>
              <w:rPr>
                <w:rFonts w:cs="Calibri" w:ascii="Calibri" w:hAnsi="Calibri"/>
                <w:color w:val="000000"/>
                <w:sz w:val="22"/>
                <w:szCs w:val="22"/>
                <w:highlight w:val="white"/>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Web"/>
              <w:widowControl w:val="false"/>
              <w:spacing w:beforeAutospacing="0" w:before="0" w:afterAutospacing="0" w:after="0"/>
              <w:jc w:val="both"/>
              <w:rPr/>
            </w:pPr>
            <w:r>
              <w:rPr>
                <w:rFonts w:cs="Calibri" w:ascii="Calibri" w:hAnsi="Calibri"/>
                <w:color w:val="000000"/>
                <w:sz w:val="22"/>
                <w:szCs w:val="22"/>
                <w:highlight w:val="white"/>
              </w:rPr>
              <w:t>4.3. Explicar, empleando los conocimientos científicos adecuados, cuáles son los beneficios de los numerosos productos de la tecnología Química y cómo su empleo y aplicación han contribuido al progreso de la sociedad.</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5.1. Reconocer la importante contribución en la Química del trabajo colaborativo entre especialistas de diferentes disciplinas científicas poniendo de relieve las conexiones entre las leyes y teorías propias de cada disciplina.</w:t>
            </w:r>
          </w:p>
          <w:p>
            <w:pPr>
              <w:pStyle w:val="NormalWeb"/>
              <w:widowControl w:val="false"/>
              <w:spacing w:beforeAutospacing="0" w:before="0" w:afterAutospacing="0" w:after="0"/>
              <w:jc w:val="both"/>
              <w:rPr/>
            </w:pPr>
            <w:r>
              <w:rPr>
                <w:rFonts w:cs="Calibri" w:ascii="Calibri" w:hAnsi="Calibri"/>
                <w:color w:val="000000"/>
                <w:sz w:val="22"/>
                <w:szCs w:val="22"/>
                <w:highlight w:val="white"/>
              </w:rPr>
              <w:t>5.2. Reconocer la aportación de la Química al desarrollo del pensamiento científico y a la autonomía de pensamiento crítico a través de la puesta en práctica de las metodologías de trabajo propias de las disciplinas científicas.</w:t>
            </w:r>
          </w:p>
          <w:p>
            <w:pPr>
              <w:pStyle w:val="NormalWeb"/>
              <w:widowControl w:val="false"/>
              <w:spacing w:beforeAutospacing="0" w:before="0" w:afterAutospacing="0" w:after="0"/>
              <w:jc w:val="both"/>
              <w:rPr/>
            </w:pPr>
            <w:r>
              <w:rPr>
                <w:rFonts w:cs="Calibri" w:ascii="Calibri" w:hAnsi="Calibri"/>
                <w:color w:val="000000"/>
                <w:sz w:val="22"/>
                <w:szCs w:val="22"/>
                <w:highlight w:val="white"/>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Web"/>
              <w:widowControl w:val="false"/>
              <w:spacing w:beforeAutospacing="0" w:before="0" w:afterAutospacing="0" w:after="0"/>
              <w:jc w:val="both"/>
              <w:rPr/>
            </w:pPr>
            <w:r>
              <w:rPr>
                <w:rFonts w:cs="Calibri" w:ascii="Calibri" w:hAnsi="Calibri"/>
                <w:color w:val="000000"/>
                <w:sz w:val="22"/>
                <w:szCs w:val="22"/>
                <w:highlight w:val="white"/>
              </w:rPr>
              <w:t>5.4. Representar y visualizar de forma eficiente los conceptos de Química que presenten mayores dificultades utilizando herramientas digitales y recursos variados, incluyendo experiencias de laboratorio real y virtual.</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Web"/>
              <w:widowControl w:val="false"/>
              <w:spacing w:beforeAutospacing="0" w:before="0" w:afterAutospacing="0" w:after="0"/>
              <w:jc w:val="both"/>
              <w:rPr/>
            </w:pPr>
            <w:r>
              <w:rPr>
                <w:rFonts w:cs="Calibri" w:ascii="Calibri" w:hAnsi="Calibri"/>
                <w:color w:val="000000"/>
                <w:sz w:val="22"/>
                <w:szCs w:val="22"/>
                <w:highlight w:val="white"/>
              </w:rPr>
              <w:t>6.2. Deducir las ideas fundamentales de otras disciplinas científicas (por ejemplo, la biología o la tecnología) por medio de la relación entre sus contenidos básicos y las leyes y teorías que son propias de la Química.</w:t>
            </w:r>
          </w:p>
          <w:p>
            <w:pPr>
              <w:pStyle w:val="NormalWeb"/>
              <w:widowControl w:val="false"/>
              <w:spacing w:beforeAutospacing="0" w:before="0" w:afterAutospacing="0" w:after="0"/>
              <w:jc w:val="both"/>
              <w:rPr/>
            </w:pPr>
            <w:r>
              <w:rPr>
                <w:rFonts w:cs="Calibri" w:ascii="Calibri" w:hAnsi="Calibri"/>
                <w:color w:val="000000"/>
                <w:sz w:val="22"/>
                <w:szCs w:val="22"/>
                <w:highlight w:val="white"/>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tc>
      </w:tr>
      <w:tr>
        <w:trPr/>
        <w:tc>
          <w:tcPr>
            <w:tcW w:w="6105" w:type="dxa"/>
            <w:tcBorders/>
            <w:shd w:color="auto" w:fill="auto" w:val="clear"/>
          </w:tcPr>
          <w:p>
            <w:pPr>
              <w:pStyle w:val="Normal"/>
              <w:widowControl w:val="false"/>
              <w:spacing w:lineRule="auto" w:line="240" w:before="0" w:after="0"/>
              <w:rPr/>
            </w:pPr>
            <w:r>
              <w:rPr>
                <w:b/>
                <w:sz w:val="22"/>
                <w:szCs w:val="22"/>
              </w:rPr>
              <w:t>Unidad  Cinética Química:</w:t>
            </w:r>
          </w:p>
          <w:p>
            <w:pPr>
              <w:pStyle w:val="DC1"/>
              <w:widowControl w:val="false"/>
              <w:numPr>
                <w:ilvl w:val="0"/>
                <w:numId w:val="1"/>
              </w:numPr>
              <w:ind w:left="0" w:hanging="0"/>
              <w:rPr/>
            </w:pPr>
            <w:r>
              <w:rPr>
                <w:sz w:val="22"/>
                <w:szCs w:val="22"/>
              </w:rPr>
              <w:t>Teoría de las colisiones como modelo a escala microscópica de las reacciones químicas. Conceptos de velocidad de reacción y energía de activación.</w:t>
            </w:r>
          </w:p>
          <w:p>
            <w:pPr>
              <w:pStyle w:val="DC1"/>
              <w:widowControl w:val="false"/>
              <w:numPr>
                <w:ilvl w:val="0"/>
                <w:numId w:val="1"/>
              </w:numPr>
              <w:ind w:left="0" w:hanging="0"/>
              <w:rPr/>
            </w:pPr>
            <w:r>
              <w:rPr>
                <w:sz w:val="22"/>
                <w:szCs w:val="22"/>
              </w:rPr>
              <w:t>Influencia de las condiciones de reacción sobre la velocidad de la misma.</w:t>
            </w:r>
          </w:p>
          <w:p>
            <w:pPr>
              <w:pStyle w:val="DC1"/>
              <w:widowControl w:val="false"/>
              <w:numPr>
                <w:ilvl w:val="0"/>
                <w:numId w:val="1"/>
              </w:numPr>
              <w:ind w:left="0" w:hanging="0"/>
              <w:rPr/>
            </w:pPr>
            <w:r>
              <w:rPr>
                <w:sz w:val="22"/>
                <w:szCs w:val="22"/>
              </w:rPr>
              <w:t>Ley diferencial de la velocidad de una reacción química y los órdenes de reacción a partir de datos experimentales de velocidad de reacción.</w:t>
            </w:r>
          </w:p>
        </w:tc>
        <w:tc>
          <w:tcPr>
            <w:tcW w:w="4964" w:type="dxa"/>
            <w:tcBorders/>
            <w:shd w:color="auto" w:fill="auto" w:val="clear"/>
          </w:tcPr>
          <w:p>
            <w:pPr>
              <w:pStyle w:val="NormalWeb"/>
              <w:widowControl w:val="false"/>
              <w:spacing w:beforeAutospacing="0" w:before="0" w:afterAutospacing="0" w:after="0"/>
              <w:jc w:val="both"/>
              <w:rPr/>
            </w:pPr>
            <w:r>
              <w:rPr>
                <w:rFonts w:cs="Calibri" w:ascii="Calibri" w:hAnsi="Calibri"/>
                <w:color w:val="000000"/>
                <w:sz w:val="22"/>
                <w:szCs w:val="22"/>
                <w:highlight w:val="white"/>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Web"/>
              <w:widowControl w:val="false"/>
              <w:spacing w:beforeAutospacing="0" w:before="0" w:afterAutospacing="0" w:after="0"/>
              <w:jc w:val="both"/>
              <w:rPr/>
            </w:pPr>
            <w:r>
              <w:rPr>
                <w:rFonts w:cs="Calibri" w:ascii="Calibri" w:hAnsi="Calibri"/>
                <w:color w:val="000000"/>
                <w:sz w:val="22"/>
                <w:szCs w:val="22"/>
                <w:highlight w:val="white"/>
              </w:rPr>
              <w:t>1.2. Describir los principales procesos químicos que suceden en el entorno y las propiedades de los sistemas materiales a partir de los conocimientos, destrezas y actitudes propios de las distintas disciplinas de la Química.</w:t>
            </w:r>
          </w:p>
          <w:p>
            <w:pPr>
              <w:pStyle w:val="NormalWeb"/>
              <w:widowControl w:val="false"/>
              <w:spacing w:beforeAutospacing="0" w:before="0" w:afterAutospacing="0" w:after="0"/>
              <w:jc w:val="both"/>
              <w:rPr/>
            </w:pPr>
            <w:r>
              <w:rPr>
                <w:rFonts w:cs="Calibri" w:ascii="Calibri" w:hAnsi="Calibri"/>
                <w:color w:val="000000"/>
                <w:sz w:val="22"/>
                <w:szCs w:val="22"/>
                <w:highlight w:val="white"/>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Web"/>
              <w:widowControl w:val="false"/>
              <w:spacing w:beforeAutospacing="0" w:before="0" w:afterAutospacing="0" w:after="0"/>
              <w:jc w:val="both"/>
              <w:rPr/>
            </w:pPr>
            <w:r>
              <w:rPr>
                <w:rFonts w:cs="Calibri" w:ascii="Calibri" w:hAnsi="Calibri"/>
                <w:color w:val="000000"/>
                <w:sz w:val="22"/>
                <w:szCs w:val="22"/>
                <w:highlight w:val="white"/>
              </w:rPr>
              <w:t xml:space="preserve">2.2. Reconocer y comunicar que las bases de la Química constituyen un cuerpo de conocimiento imprescindible en un marco contextualde estudio y discusión de cuestiones significativas en los ámbitos social, económico, político y ético identificando la presencia e influencia de estas bases </w:t>
            </w:r>
          </w:p>
          <w:p>
            <w:pPr>
              <w:pStyle w:val="NormalWeb"/>
              <w:widowControl w:val="false"/>
              <w:spacing w:beforeAutospacing="0" w:before="0" w:afterAutospacing="0" w:after="0"/>
              <w:jc w:val="both"/>
              <w:rPr/>
            </w:pPr>
            <w:r>
              <w:rPr>
                <w:rFonts w:cs="Calibri" w:ascii="Calibri" w:hAnsi="Calibri"/>
                <w:color w:val="000000"/>
                <w:sz w:val="22"/>
                <w:szCs w:val="22"/>
                <w:highlight w:val="white"/>
              </w:rPr>
              <w:t>en dichos ámbitos.</w:t>
            </w:r>
          </w:p>
          <w:p>
            <w:pPr>
              <w:pStyle w:val="NormalWeb"/>
              <w:widowControl w:val="false"/>
              <w:spacing w:beforeAutospacing="0" w:before="0" w:afterAutospacing="0" w:after="0"/>
              <w:jc w:val="both"/>
              <w:rPr/>
            </w:pPr>
            <w:r>
              <w:rPr>
                <w:rFonts w:cs="Calibri" w:ascii="Calibri" w:hAnsi="Calibri"/>
                <w:color w:val="000000"/>
                <w:sz w:val="22"/>
                <w:szCs w:val="22"/>
                <w:highlight w:val="white"/>
              </w:rPr>
              <w:t>2.3. Aplicar de manera informada, coherente y razonada los modelos y leyes de la Química, explicando y prediciendo las</w:t>
            </w:r>
          </w:p>
          <w:p>
            <w:pPr>
              <w:pStyle w:val="NormalWeb"/>
              <w:widowControl w:val="false"/>
              <w:spacing w:beforeAutospacing="0" w:before="0" w:afterAutospacing="0" w:after="0"/>
              <w:jc w:val="both"/>
              <w:rPr/>
            </w:pPr>
            <w:r>
              <w:rPr>
                <w:rFonts w:cs="Calibri" w:ascii="Calibri" w:hAnsi="Calibri"/>
                <w:color w:val="000000"/>
                <w:sz w:val="22"/>
                <w:szCs w:val="22"/>
                <w:highlight w:val="white"/>
              </w:rPr>
              <w:t>consecuencias de experimentos, fenómenos naturales, procesos industriales y descubrimientos científicos.</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3.1. Utilizar correctamente las normas de nomenclatura de la IUPAC como base de un lenguaje universal para la Química que permita una comunicación efectiva en toda la comunidad científica, aplicando dichas normas al reconocimiento y escritura de fórmulas y nombres de diferentes especies Químicas.</w:t>
            </w:r>
          </w:p>
          <w:p>
            <w:pPr>
              <w:pStyle w:val="NormalWeb"/>
              <w:widowControl w:val="false"/>
              <w:spacing w:beforeAutospacing="0" w:before="0" w:afterAutospacing="0" w:after="0"/>
              <w:jc w:val="both"/>
              <w:rPr/>
            </w:pPr>
            <w:r>
              <w:rPr>
                <w:rFonts w:cs="Calibri" w:ascii="Calibri" w:hAnsi="Calibri"/>
                <w:color w:val="000000"/>
                <w:sz w:val="22"/>
                <w:szCs w:val="22"/>
                <w:highlight w:val="white"/>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Web"/>
              <w:widowControl w:val="false"/>
              <w:spacing w:beforeAutospacing="0" w:before="0" w:afterAutospacing="0" w:after="0"/>
              <w:jc w:val="both"/>
              <w:rPr/>
            </w:pPr>
            <w:r>
              <w:rPr>
                <w:rFonts w:cs="Calibri" w:ascii="Calibri" w:hAnsi="Calibri"/>
                <w:color w:val="000000"/>
                <w:sz w:val="22"/>
                <w:szCs w:val="22"/>
                <w:highlight w:val="white"/>
              </w:rPr>
              <w:t>3.3. Practicar y hacer respetar las normas de seguridad relacionadas con la manipulación de sustancias Químicas en el laboratorio y en otros entornos, así como los procedimientos para la correcta gestión y eliminación de los residuos, utilizando correctamente los códigos de comunicación característicos de la Química.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Web"/>
              <w:widowControl w:val="false"/>
              <w:spacing w:beforeAutospacing="0" w:before="0" w:afterAutospacing="0" w:after="0"/>
              <w:jc w:val="both"/>
              <w:rPr/>
            </w:pPr>
            <w:r>
              <w:rPr>
                <w:rFonts w:cs="Calibri" w:ascii="Calibri" w:hAnsi="Calibri"/>
                <w:color w:val="000000"/>
                <w:sz w:val="22"/>
                <w:szCs w:val="22"/>
                <w:highlight w:val="white"/>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Web"/>
              <w:widowControl w:val="false"/>
              <w:spacing w:beforeAutospacing="0" w:before="0" w:afterAutospacing="0" w:after="0"/>
              <w:jc w:val="both"/>
              <w:rPr/>
            </w:pPr>
            <w:r>
              <w:rPr>
                <w:rFonts w:cs="Calibri" w:ascii="Calibri" w:hAnsi="Calibri"/>
                <w:color w:val="000000"/>
                <w:sz w:val="22"/>
                <w:szCs w:val="22"/>
                <w:highlight w:val="white"/>
              </w:rPr>
              <w:t>4.3. Explicar, empleando los conocimientos científicos adecuados, cuáles son los beneficios de los numerosos productos de la tecnología Química y cómo su empleo y aplicación han contribuido al progreso de la sociedad.</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5.1. Reconocer la importante contribución en la Química del trabajo colaborativo entre especialistas de diferentes disciplinas científicas poniendo de relieve las conexiones entre las leyes y teorías propias de cada disciplina.</w:t>
            </w:r>
          </w:p>
          <w:p>
            <w:pPr>
              <w:pStyle w:val="NormalWeb"/>
              <w:widowControl w:val="false"/>
              <w:spacing w:beforeAutospacing="0" w:before="0" w:afterAutospacing="0" w:after="0"/>
              <w:jc w:val="both"/>
              <w:rPr/>
            </w:pPr>
            <w:r>
              <w:rPr>
                <w:rFonts w:cs="Calibri" w:ascii="Calibri" w:hAnsi="Calibri"/>
                <w:color w:val="000000"/>
                <w:sz w:val="22"/>
                <w:szCs w:val="22"/>
                <w:highlight w:val="white"/>
              </w:rPr>
              <w:t>5.2. Reconocer la aportación de la Química al desarrollo del pensamiento científico y a la autonomía de pensamiento crítico a través de la puesta en práctica de las metodologías de trabajo propias de las disciplinas científicas.</w:t>
            </w:r>
          </w:p>
          <w:p>
            <w:pPr>
              <w:pStyle w:val="NormalWeb"/>
              <w:widowControl w:val="false"/>
              <w:spacing w:beforeAutospacing="0" w:before="0" w:afterAutospacing="0" w:after="0"/>
              <w:jc w:val="both"/>
              <w:rPr/>
            </w:pPr>
            <w:r>
              <w:rPr>
                <w:rFonts w:cs="Calibri" w:ascii="Calibri" w:hAnsi="Calibri"/>
                <w:color w:val="000000"/>
                <w:sz w:val="22"/>
                <w:szCs w:val="22"/>
                <w:highlight w:val="white"/>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Web"/>
              <w:widowControl w:val="false"/>
              <w:spacing w:beforeAutospacing="0" w:before="0" w:afterAutospacing="0" w:after="0"/>
              <w:jc w:val="both"/>
              <w:rPr/>
            </w:pPr>
            <w:r>
              <w:rPr>
                <w:rFonts w:cs="Calibri" w:ascii="Calibri" w:hAnsi="Calibri"/>
                <w:color w:val="000000"/>
                <w:sz w:val="22"/>
                <w:szCs w:val="22"/>
                <w:highlight w:val="white"/>
              </w:rPr>
              <w:t>5.4. Representar y visualizar de forma eficiente los conceptos de Química que presenten mayores dificultades utilizando herramientas digitales y recursos variados, incluyendo experiencias de laboratorio real y virtual.</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Web"/>
              <w:widowControl w:val="false"/>
              <w:spacing w:beforeAutospacing="0" w:before="0" w:afterAutospacing="0" w:after="0"/>
              <w:jc w:val="both"/>
              <w:rPr/>
            </w:pPr>
            <w:r>
              <w:rPr>
                <w:rFonts w:cs="Calibri" w:ascii="Calibri" w:hAnsi="Calibri"/>
                <w:color w:val="000000"/>
                <w:sz w:val="22"/>
                <w:szCs w:val="22"/>
                <w:highlight w:val="white"/>
              </w:rPr>
              <w:t>6.2. Deducir las ideas fundamentales de otras disciplinas científicas (por ejemplo, la biología o la tecnología) por medio de la relación entre sus contenidos básicos y las leyes y teorías que son propias de la Química.</w:t>
            </w:r>
          </w:p>
          <w:p>
            <w:pPr>
              <w:pStyle w:val="NormalWeb"/>
              <w:widowControl w:val="false"/>
              <w:spacing w:beforeAutospacing="0" w:before="0" w:afterAutospacing="0" w:after="0"/>
              <w:jc w:val="both"/>
              <w:rPr/>
            </w:pPr>
            <w:r>
              <w:rPr>
                <w:rFonts w:cs="Calibri" w:ascii="Calibri" w:hAnsi="Calibri"/>
                <w:color w:val="000000"/>
                <w:sz w:val="22"/>
                <w:szCs w:val="22"/>
                <w:highlight w:val="white"/>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tc>
      </w:tr>
      <w:tr>
        <w:trPr/>
        <w:tc>
          <w:tcPr>
            <w:tcW w:w="6105" w:type="dxa"/>
            <w:tcBorders/>
            <w:shd w:color="auto" w:fill="auto" w:val="clear"/>
          </w:tcPr>
          <w:p>
            <w:pPr>
              <w:pStyle w:val="Normal"/>
              <w:widowControl w:val="false"/>
              <w:spacing w:lineRule="auto" w:line="240" w:before="0" w:after="0"/>
              <w:rPr/>
            </w:pPr>
            <w:r>
              <w:rPr>
                <w:b/>
                <w:sz w:val="22"/>
                <w:szCs w:val="22"/>
              </w:rPr>
              <w:t>Uniudad . Equilibrio químico:</w:t>
            </w:r>
          </w:p>
          <w:p>
            <w:pPr>
              <w:pStyle w:val="DC1"/>
              <w:widowControl w:val="false"/>
              <w:numPr>
                <w:ilvl w:val="0"/>
                <w:numId w:val="1"/>
              </w:numPr>
              <w:ind w:left="0" w:hanging="0"/>
              <w:rPr/>
            </w:pPr>
            <w:r>
              <w:rPr>
                <w:sz w:val="22"/>
                <w:szCs w:val="22"/>
              </w:rPr>
              <w:t>El equilibrio químico como proceso dinámico: ecuaciones de velocidad y aspectos termodinámicos. Expresión de la constante de equilibrio mediante la ley de acción de masas.</w:t>
            </w:r>
          </w:p>
          <w:p>
            <w:pPr>
              <w:pStyle w:val="DC1"/>
              <w:widowControl w:val="false"/>
              <w:numPr>
                <w:ilvl w:val="0"/>
                <w:numId w:val="1"/>
              </w:numPr>
              <w:ind w:left="0" w:hanging="0"/>
              <w:rPr/>
            </w:pPr>
            <w:r>
              <w:rPr>
                <w:sz w:val="22"/>
                <w:szCs w:val="22"/>
              </w:rPr>
              <w:t>La constante de equilibrio de reacciones en las que los reactivos se encuentren en diferente estado físico. Relación entre KC y KP y producto de solubilidad en equilibrios heterogéneos.</w:t>
            </w:r>
          </w:p>
          <w:p>
            <w:pPr>
              <w:pStyle w:val="DC1"/>
              <w:widowControl w:val="false"/>
              <w:numPr>
                <w:ilvl w:val="0"/>
                <w:numId w:val="1"/>
              </w:numPr>
              <w:ind w:left="0" w:hanging="0"/>
              <w:rPr/>
            </w:pPr>
            <w:r>
              <w:rPr>
                <w:sz w:val="22"/>
                <w:szCs w:val="22"/>
              </w:rPr>
              <w:t>Principio de Le Châtelier y el cociente de reacción. Evolución de sistemas en equilibrio a partir de la variación de las condiciones de concentración, presión o temperatura del sistema.</w:t>
            </w:r>
          </w:p>
        </w:tc>
        <w:tc>
          <w:tcPr>
            <w:tcW w:w="4964" w:type="dxa"/>
            <w:tcBorders/>
            <w:shd w:color="auto" w:fill="auto" w:val="clear"/>
          </w:tcPr>
          <w:p>
            <w:pPr>
              <w:pStyle w:val="NormalWeb"/>
              <w:widowControl w:val="false"/>
              <w:spacing w:beforeAutospacing="0" w:before="0" w:afterAutospacing="0" w:after="0"/>
              <w:jc w:val="both"/>
              <w:rPr/>
            </w:pPr>
            <w:r>
              <w:rPr>
                <w:rFonts w:cs="Calibri" w:ascii="Calibri" w:hAnsi="Calibri"/>
                <w:color w:val="000000"/>
                <w:sz w:val="22"/>
                <w:szCs w:val="22"/>
                <w:highlight w:val="white"/>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Web"/>
              <w:widowControl w:val="false"/>
              <w:spacing w:beforeAutospacing="0" w:before="0" w:afterAutospacing="0" w:after="0"/>
              <w:jc w:val="both"/>
              <w:rPr/>
            </w:pPr>
            <w:r>
              <w:rPr>
                <w:rFonts w:cs="Calibri" w:ascii="Calibri" w:hAnsi="Calibri"/>
                <w:color w:val="000000"/>
                <w:sz w:val="22"/>
                <w:szCs w:val="22"/>
                <w:highlight w:val="white"/>
              </w:rPr>
              <w:t>1.2. Describir los principales procesos químicos que suceden en el entorno y las propiedades de los sistemas materiales a partir de los conocimientos, destrezas y actitudes propios de las distintas disciplinas de la Química.</w:t>
            </w:r>
          </w:p>
          <w:p>
            <w:pPr>
              <w:pStyle w:val="NormalWeb"/>
              <w:widowControl w:val="false"/>
              <w:spacing w:beforeAutospacing="0" w:before="0" w:afterAutospacing="0" w:after="0"/>
              <w:jc w:val="both"/>
              <w:rPr/>
            </w:pPr>
            <w:r>
              <w:rPr>
                <w:rFonts w:cs="Calibri" w:ascii="Calibri" w:hAnsi="Calibri"/>
                <w:color w:val="000000"/>
                <w:sz w:val="22"/>
                <w:szCs w:val="22"/>
                <w:highlight w:val="white"/>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Web"/>
              <w:widowControl w:val="false"/>
              <w:spacing w:beforeAutospacing="0" w:before="0" w:afterAutospacing="0" w:after="0"/>
              <w:jc w:val="both"/>
              <w:rPr/>
            </w:pPr>
            <w:r>
              <w:rPr>
                <w:rFonts w:cs="Calibri" w:ascii="Calibri" w:hAnsi="Calibri"/>
                <w:color w:val="000000"/>
                <w:sz w:val="22"/>
                <w:szCs w:val="22"/>
                <w:highlight w:val="white"/>
              </w:rPr>
              <w:t xml:space="preserve">2.2. Reconocer y comunicar que las bases de la Química constituyen un cuerpo de conocimiento imprescindible en un marco contextualde estudio y discusión de cuestiones significativas en los ámbitos social, económico, político y ético identificando la presencia e influencia de estas bases </w:t>
            </w:r>
          </w:p>
          <w:p>
            <w:pPr>
              <w:pStyle w:val="NormalWeb"/>
              <w:widowControl w:val="false"/>
              <w:spacing w:beforeAutospacing="0" w:before="0" w:afterAutospacing="0" w:after="0"/>
              <w:jc w:val="both"/>
              <w:rPr/>
            </w:pPr>
            <w:r>
              <w:rPr>
                <w:rFonts w:cs="Calibri" w:ascii="Calibri" w:hAnsi="Calibri"/>
                <w:color w:val="000000"/>
                <w:sz w:val="22"/>
                <w:szCs w:val="22"/>
                <w:highlight w:val="white"/>
              </w:rPr>
              <w:t>en dichos ámbitos.</w:t>
            </w:r>
          </w:p>
          <w:p>
            <w:pPr>
              <w:pStyle w:val="NormalWeb"/>
              <w:widowControl w:val="false"/>
              <w:spacing w:beforeAutospacing="0" w:before="0" w:afterAutospacing="0" w:after="0"/>
              <w:jc w:val="both"/>
              <w:rPr/>
            </w:pPr>
            <w:r>
              <w:rPr>
                <w:rFonts w:cs="Calibri" w:ascii="Calibri" w:hAnsi="Calibri"/>
                <w:color w:val="000000"/>
                <w:sz w:val="22"/>
                <w:szCs w:val="22"/>
                <w:highlight w:val="white"/>
              </w:rPr>
              <w:t>2.3. Aplicar de manera informada, coherente y razonada los modelos y leyes de la Química, explicando y prediciendo las</w:t>
            </w:r>
          </w:p>
          <w:p>
            <w:pPr>
              <w:pStyle w:val="NormalWeb"/>
              <w:widowControl w:val="false"/>
              <w:spacing w:beforeAutospacing="0" w:before="0" w:afterAutospacing="0" w:after="0"/>
              <w:jc w:val="both"/>
              <w:rPr/>
            </w:pPr>
            <w:r>
              <w:rPr>
                <w:rFonts w:cs="Calibri" w:ascii="Calibri" w:hAnsi="Calibri"/>
                <w:color w:val="000000"/>
                <w:sz w:val="22"/>
                <w:szCs w:val="22"/>
                <w:highlight w:val="white"/>
              </w:rPr>
              <w:t>consecuencias de experimentos, fenómenos naturales, procesos industriales y descubrimientos científicos.</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3.1. Utilizar correctamente las normas de nomenclatura de la IUPAC como base de un lenguaje universal para la Química que permita una comunicación efectiva en toda la comunidad científica, aplicando dichas normas al reconocimiento y escritura de fórmulas y nombres de diferentes especies Químicas.</w:t>
            </w:r>
          </w:p>
          <w:p>
            <w:pPr>
              <w:pStyle w:val="NormalWeb"/>
              <w:widowControl w:val="false"/>
              <w:spacing w:beforeAutospacing="0" w:before="0" w:afterAutospacing="0" w:after="0"/>
              <w:jc w:val="both"/>
              <w:rPr/>
            </w:pPr>
            <w:r>
              <w:rPr>
                <w:rFonts w:cs="Calibri" w:ascii="Calibri" w:hAnsi="Calibri"/>
                <w:color w:val="000000"/>
                <w:sz w:val="22"/>
                <w:szCs w:val="22"/>
                <w:highlight w:val="white"/>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Web"/>
              <w:widowControl w:val="false"/>
              <w:spacing w:beforeAutospacing="0" w:before="0" w:afterAutospacing="0" w:after="0"/>
              <w:jc w:val="both"/>
              <w:rPr/>
            </w:pPr>
            <w:r>
              <w:rPr>
                <w:rFonts w:cs="Calibri" w:ascii="Calibri" w:hAnsi="Calibri"/>
                <w:color w:val="000000"/>
                <w:sz w:val="22"/>
                <w:szCs w:val="22"/>
                <w:highlight w:val="white"/>
              </w:rPr>
              <w:t>3.3. Practicar y hacer respetar las normas de seguridad relacionadas con la manipulación de sustancias Químicas en el laboratorio y en otros entornos, así como los procedimientos para la correcta gestión y eliminación de los residuos, utilizando correctamente los códigos de comunicación característicos de la Química.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Web"/>
              <w:widowControl w:val="false"/>
              <w:spacing w:beforeAutospacing="0" w:before="0" w:afterAutospacing="0" w:after="0"/>
              <w:jc w:val="both"/>
              <w:rPr/>
            </w:pPr>
            <w:r>
              <w:rPr>
                <w:rFonts w:cs="Calibri" w:ascii="Calibri" w:hAnsi="Calibri"/>
                <w:color w:val="000000"/>
                <w:sz w:val="22"/>
                <w:szCs w:val="22"/>
                <w:highlight w:val="white"/>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Web"/>
              <w:widowControl w:val="false"/>
              <w:spacing w:beforeAutospacing="0" w:before="0" w:afterAutospacing="0" w:after="0"/>
              <w:jc w:val="both"/>
              <w:rPr/>
            </w:pPr>
            <w:r>
              <w:rPr>
                <w:rFonts w:cs="Calibri" w:ascii="Calibri" w:hAnsi="Calibri"/>
                <w:color w:val="000000"/>
                <w:sz w:val="22"/>
                <w:szCs w:val="22"/>
                <w:highlight w:val="white"/>
              </w:rPr>
              <w:t>4.3. Explicar, empleando los conocimientos científicos adecuados, cuáles son los beneficios de los numerosos productos de la tecnología Química y cómo su empleo y aplicación han contribuido al progreso de la sociedad.</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5.1. Reconocer la importante contribución en la Química del trabajo colaborativo entre especialistas de diferentes disciplinas científicas poniendo de relieve las conexiones entre las leyes y teorías propias de cada disciplina.</w:t>
            </w:r>
          </w:p>
          <w:p>
            <w:pPr>
              <w:pStyle w:val="NormalWeb"/>
              <w:widowControl w:val="false"/>
              <w:spacing w:beforeAutospacing="0" w:before="0" w:afterAutospacing="0" w:after="0"/>
              <w:jc w:val="both"/>
              <w:rPr/>
            </w:pPr>
            <w:r>
              <w:rPr>
                <w:rFonts w:cs="Calibri" w:ascii="Calibri" w:hAnsi="Calibri"/>
                <w:color w:val="000000"/>
                <w:sz w:val="22"/>
                <w:szCs w:val="22"/>
                <w:highlight w:val="white"/>
              </w:rPr>
              <w:t>5.2. Reconocer la aportación de la Química al desarrollo del pensamiento científico y a la autonomía de pensamiento crítico a través de la puesta en práctica de las metodologías de trabajo propias de las disciplinas científicas.</w:t>
            </w:r>
          </w:p>
          <w:p>
            <w:pPr>
              <w:pStyle w:val="NormalWeb"/>
              <w:widowControl w:val="false"/>
              <w:spacing w:beforeAutospacing="0" w:before="0" w:afterAutospacing="0" w:after="0"/>
              <w:jc w:val="both"/>
              <w:rPr/>
            </w:pPr>
            <w:r>
              <w:rPr>
                <w:rFonts w:cs="Calibri" w:ascii="Calibri" w:hAnsi="Calibri"/>
                <w:color w:val="000000"/>
                <w:sz w:val="22"/>
                <w:szCs w:val="22"/>
                <w:highlight w:val="white"/>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Web"/>
              <w:widowControl w:val="false"/>
              <w:spacing w:beforeAutospacing="0" w:before="0" w:afterAutospacing="0" w:after="0"/>
              <w:jc w:val="both"/>
              <w:rPr/>
            </w:pPr>
            <w:r>
              <w:rPr>
                <w:rFonts w:cs="Calibri" w:ascii="Calibri" w:hAnsi="Calibri"/>
                <w:color w:val="000000"/>
                <w:sz w:val="22"/>
                <w:szCs w:val="22"/>
                <w:highlight w:val="white"/>
              </w:rPr>
              <w:t>5.4. Representar y visualizar de forma eficiente los conceptos de Química que presenten mayores dificultades utilizando herramientas digitales y recursos variados, incluyendo experiencias de laboratorio real y virtual.</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Web"/>
              <w:widowControl w:val="false"/>
              <w:spacing w:beforeAutospacing="0" w:before="0" w:afterAutospacing="0" w:after="0"/>
              <w:jc w:val="both"/>
              <w:rPr/>
            </w:pPr>
            <w:r>
              <w:rPr>
                <w:rFonts w:cs="Calibri" w:ascii="Calibri" w:hAnsi="Calibri"/>
                <w:color w:val="000000"/>
                <w:sz w:val="22"/>
                <w:szCs w:val="22"/>
                <w:highlight w:val="white"/>
              </w:rPr>
              <w:t>6.2. Deducir las ideas fundamentales de otras disciplinas científicas (por ejemplo, la biología o la tecnología) por medio de la relación entre sus contenidos básicos y las leyes y teorías que son propias de la Química.</w:t>
            </w:r>
          </w:p>
          <w:p>
            <w:pPr>
              <w:pStyle w:val="NormalWeb"/>
              <w:widowControl w:val="false"/>
              <w:spacing w:beforeAutospacing="0" w:before="0" w:afterAutospacing="0" w:after="0"/>
              <w:jc w:val="both"/>
              <w:rPr/>
            </w:pPr>
            <w:r>
              <w:rPr>
                <w:rFonts w:cs="Calibri" w:ascii="Calibri" w:hAnsi="Calibri"/>
                <w:color w:val="000000"/>
                <w:sz w:val="22"/>
                <w:szCs w:val="22"/>
                <w:highlight w:val="white"/>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tc>
      </w:tr>
      <w:tr>
        <w:trPr/>
        <w:tc>
          <w:tcPr>
            <w:tcW w:w="6105" w:type="dxa"/>
            <w:tcBorders/>
            <w:shd w:color="auto" w:fill="auto" w:val="clear"/>
          </w:tcPr>
          <w:p>
            <w:pPr>
              <w:pStyle w:val="Normal"/>
              <w:widowControl w:val="false"/>
              <w:spacing w:lineRule="auto" w:line="240" w:before="0" w:after="0"/>
              <w:rPr/>
            </w:pPr>
            <w:r>
              <w:rPr>
                <w:b/>
                <w:sz w:val="22"/>
                <w:szCs w:val="22"/>
              </w:rPr>
              <w:t>Unidad. Reacciones ácido-base:</w:t>
            </w:r>
          </w:p>
          <w:p>
            <w:pPr>
              <w:pStyle w:val="DC1"/>
              <w:widowControl w:val="false"/>
              <w:numPr>
                <w:ilvl w:val="0"/>
                <w:numId w:val="1"/>
              </w:numPr>
              <w:ind w:left="0" w:hanging="0"/>
              <w:rPr/>
            </w:pPr>
            <w:r>
              <w:rPr>
                <w:sz w:val="22"/>
                <w:szCs w:val="22"/>
              </w:rPr>
              <w:t>Naturaleza ácida o básica de una sustancia a partir de las teorías de Arrhenius y de Brønsted y Lowry.</w:t>
            </w:r>
          </w:p>
          <w:p>
            <w:pPr>
              <w:pStyle w:val="DC1"/>
              <w:widowControl w:val="false"/>
              <w:numPr>
                <w:ilvl w:val="0"/>
                <w:numId w:val="1"/>
              </w:numPr>
              <w:ind w:left="0" w:hanging="0"/>
              <w:rPr/>
            </w:pPr>
            <w:r>
              <w:rPr>
                <w:sz w:val="22"/>
                <w:szCs w:val="22"/>
              </w:rPr>
              <w:t>Ácidos y bases fuertes y débiles. Grado de disociación en disolución acuosa.</w:t>
            </w:r>
          </w:p>
          <w:p>
            <w:pPr>
              <w:pStyle w:val="DC1"/>
              <w:widowControl w:val="false"/>
              <w:numPr>
                <w:ilvl w:val="0"/>
                <w:numId w:val="1"/>
              </w:numPr>
              <w:ind w:left="0" w:hanging="0"/>
              <w:rPr/>
            </w:pPr>
            <w:r>
              <w:rPr>
                <w:sz w:val="22"/>
                <w:szCs w:val="22"/>
              </w:rPr>
              <w:t>pH de disoluciones ácidas y básicas. Expresión de las constantes Ka y Kb.</w:t>
            </w:r>
          </w:p>
          <w:p>
            <w:pPr>
              <w:pStyle w:val="DC1"/>
              <w:widowControl w:val="false"/>
              <w:numPr>
                <w:ilvl w:val="0"/>
                <w:numId w:val="1"/>
              </w:numPr>
              <w:ind w:left="0" w:hanging="0"/>
              <w:rPr/>
            </w:pPr>
            <w:r>
              <w:rPr>
                <w:sz w:val="22"/>
                <w:szCs w:val="22"/>
              </w:rPr>
              <w:t>Concepto de pares ácido y base conjugados. Carácter ácido o básico de disoluciones en las que se produce la hidrólisis de una sal. Estudio cualitativo de las disoluciones reguladoras de pH.</w:t>
            </w:r>
          </w:p>
          <w:p>
            <w:pPr>
              <w:pStyle w:val="DC1"/>
              <w:widowControl w:val="false"/>
              <w:numPr>
                <w:ilvl w:val="0"/>
                <w:numId w:val="1"/>
              </w:numPr>
              <w:ind w:left="0" w:hanging="0"/>
              <w:rPr/>
            </w:pPr>
            <w:r>
              <w:rPr>
                <w:sz w:val="22"/>
                <w:szCs w:val="22"/>
              </w:rPr>
              <w:t>Reacciones entre ácidos y bases. Concepto de neutralización. Volumetrías ácido-base.</w:t>
            </w:r>
          </w:p>
          <w:p>
            <w:pPr>
              <w:pStyle w:val="DC1"/>
              <w:widowControl w:val="false"/>
              <w:numPr>
                <w:ilvl w:val="0"/>
                <w:numId w:val="1"/>
              </w:numPr>
              <w:ind w:left="0" w:hanging="0"/>
              <w:rPr/>
            </w:pPr>
            <w:r>
              <w:rPr>
                <w:sz w:val="22"/>
                <w:szCs w:val="22"/>
              </w:rPr>
              <w:t>Ácidos y bases relevantes a nivel industrial y de consumo, con especial incidencia en el proceso de la conservación del medioambiente.</w:t>
            </w:r>
          </w:p>
        </w:tc>
        <w:tc>
          <w:tcPr>
            <w:tcW w:w="4964" w:type="dxa"/>
            <w:tcBorders/>
            <w:shd w:color="auto" w:fill="auto" w:val="clear"/>
          </w:tcPr>
          <w:p>
            <w:pPr>
              <w:pStyle w:val="NormalWeb"/>
              <w:widowControl w:val="false"/>
              <w:spacing w:beforeAutospacing="0" w:before="0" w:afterAutospacing="0" w:after="0"/>
              <w:jc w:val="both"/>
              <w:rPr/>
            </w:pPr>
            <w:r>
              <w:rPr>
                <w:rFonts w:cs="Calibri" w:ascii="Calibri" w:hAnsi="Calibri"/>
                <w:color w:val="000000"/>
                <w:sz w:val="22"/>
                <w:szCs w:val="22"/>
                <w:highlight w:val="white"/>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Web"/>
              <w:widowControl w:val="false"/>
              <w:spacing w:beforeAutospacing="0" w:before="0" w:afterAutospacing="0" w:after="0"/>
              <w:jc w:val="both"/>
              <w:rPr/>
            </w:pPr>
            <w:r>
              <w:rPr>
                <w:rFonts w:cs="Calibri" w:ascii="Calibri" w:hAnsi="Calibri"/>
                <w:color w:val="000000"/>
                <w:sz w:val="22"/>
                <w:szCs w:val="22"/>
                <w:highlight w:val="white"/>
              </w:rPr>
              <w:t>1.2. Describir los principales procesos químicos que suceden en el entorno y las propiedades de los sistemas materiales a partir de los conocimientos, destrezas y actitudes propios de las distintas disciplinas de la Química.</w:t>
            </w:r>
          </w:p>
          <w:p>
            <w:pPr>
              <w:pStyle w:val="NormalWeb"/>
              <w:widowControl w:val="false"/>
              <w:spacing w:beforeAutospacing="0" w:before="0" w:afterAutospacing="0" w:after="0"/>
              <w:jc w:val="both"/>
              <w:rPr/>
            </w:pPr>
            <w:r>
              <w:rPr>
                <w:rFonts w:cs="Calibri" w:ascii="Calibri" w:hAnsi="Calibri"/>
                <w:color w:val="000000"/>
                <w:sz w:val="22"/>
                <w:szCs w:val="22"/>
                <w:highlight w:val="white"/>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Web"/>
              <w:widowControl w:val="false"/>
              <w:spacing w:beforeAutospacing="0" w:before="0" w:afterAutospacing="0" w:after="0"/>
              <w:jc w:val="both"/>
              <w:rPr/>
            </w:pPr>
            <w:r>
              <w:rPr>
                <w:rFonts w:cs="Calibri" w:ascii="Calibri" w:hAnsi="Calibri"/>
                <w:color w:val="000000"/>
                <w:sz w:val="22"/>
                <w:szCs w:val="22"/>
                <w:highlight w:val="white"/>
              </w:rPr>
              <w:t xml:space="preserve">2.2. Reconocer y comunicar que las bases de la Química constituyen un cuerpo de conocimiento imprescindible en un marco contextualde estudio y discusión de cuestiones significativas en los ámbitos social, económico, político y ético identificando la presencia e influencia de estas bases </w:t>
            </w:r>
          </w:p>
          <w:p>
            <w:pPr>
              <w:pStyle w:val="NormalWeb"/>
              <w:widowControl w:val="false"/>
              <w:spacing w:beforeAutospacing="0" w:before="0" w:afterAutospacing="0" w:after="0"/>
              <w:jc w:val="both"/>
              <w:rPr/>
            </w:pPr>
            <w:r>
              <w:rPr>
                <w:rFonts w:cs="Calibri" w:ascii="Calibri" w:hAnsi="Calibri"/>
                <w:color w:val="000000"/>
                <w:sz w:val="22"/>
                <w:szCs w:val="22"/>
                <w:highlight w:val="white"/>
              </w:rPr>
              <w:t>en dichos ámbitos.</w:t>
            </w:r>
          </w:p>
          <w:p>
            <w:pPr>
              <w:pStyle w:val="NormalWeb"/>
              <w:widowControl w:val="false"/>
              <w:spacing w:beforeAutospacing="0" w:before="0" w:afterAutospacing="0" w:after="0"/>
              <w:jc w:val="both"/>
              <w:rPr/>
            </w:pPr>
            <w:r>
              <w:rPr>
                <w:rFonts w:cs="Calibri" w:ascii="Calibri" w:hAnsi="Calibri"/>
                <w:color w:val="000000"/>
                <w:sz w:val="22"/>
                <w:szCs w:val="22"/>
                <w:highlight w:val="white"/>
              </w:rPr>
              <w:t>2.3. Aplicar de manera informada, coherente y razonada los modelos y leyes de la Química, explicando y prediciendo las</w:t>
            </w:r>
          </w:p>
          <w:p>
            <w:pPr>
              <w:pStyle w:val="NormalWeb"/>
              <w:widowControl w:val="false"/>
              <w:spacing w:beforeAutospacing="0" w:before="0" w:afterAutospacing="0" w:after="0"/>
              <w:jc w:val="both"/>
              <w:rPr/>
            </w:pPr>
            <w:r>
              <w:rPr>
                <w:rFonts w:cs="Calibri" w:ascii="Calibri" w:hAnsi="Calibri"/>
                <w:color w:val="000000"/>
                <w:sz w:val="22"/>
                <w:szCs w:val="22"/>
                <w:highlight w:val="white"/>
              </w:rPr>
              <w:t>consecuencias de experimentos, fenómenos naturales, procesos industriales y descubrimientos científicos.</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3.1. Utilizar correctamente las normas de nomenclatura de la IUPAC como base de un lenguaje universal para la Química que permita una comunicación efectiva en toda la comunidad científica, aplicando dichas normas al reconocimiento y escritura de fórmulas y nombres de diferentes especies Químicas.</w:t>
            </w:r>
          </w:p>
          <w:p>
            <w:pPr>
              <w:pStyle w:val="NormalWeb"/>
              <w:widowControl w:val="false"/>
              <w:spacing w:beforeAutospacing="0" w:before="0" w:afterAutospacing="0" w:after="0"/>
              <w:jc w:val="both"/>
              <w:rPr/>
            </w:pPr>
            <w:r>
              <w:rPr>
                <w:rFonts w:cs="Calibri" w:ascii="Calibri" w:hAnsi="Calibri"/>
                <w:color w:val="000000"/>
                <w:sz w:val="22"/>
                <w:szCs w:val="22"/>
                <w:highlight w:val="white"/>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Web"/>
              <w:widowControl w:val="false"/>
              <w:spacing w:beforeAutospacing="0" w:before="0" w:afterAutospacing="0" w:after="0"/>
              <w:jc w:val="both"/>
              <w:rPr/>
            </w:pPr>
            <w:r>
              <w:rPr>
                <w:rFonts w:cs="Calibri" w:ascii="Calibri" w:hAnsi="Calibri"/>
                <w:color w:val="000000"/>
                <w:sz w:val="22"/>
                <w:szCs w:val="22"/>
                <w:highlight w:val="white"/>
              </w:rPr>
              <w:t>3.3. Practicar y hacer respetar las normas de seguridad relacionadas con la manipulación de sustancias Químicas en el laboratorio y en otros entornos, así como los procedimientos para la correcta gestión y eliminación de los residuos, utilizando correctamente los códigos de comunicación característicos de la Química.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Web"/>
              <w:widowControl w:val="false"/>
              <w:spacing w:beforeAutospacing="0" w:before="0" w:afterAutospacing="0" w:after="0"/>
              <w:jc w:val="both"/>
              <w:rPr/>
            </w:pPr>
            <w:r>
              <w:rPr>
                <w:rFonts w:cs="Calibri" w:ascii="Calibri" w:hAnsi="Calibri"/>
                <w:color w:val="000000"/>
                <w:sz w:val="22"/>
                <w:szCs w:val="22"/>
                <w:highlight w:val="white"/>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Web"/>
              <w:widowControl w:val="false"/>
              <w:spacing w:beforeAutospacing="0" w:before="0" w:afterAutospacing="0" w:after="0"/>
              <w:jc w:val="both"/>
              <w:rPr/>
            </w:pPr>
            <w:r>
              <w:rPr>
                <w:rFonts w:cs="Calibri" w:ascii="Calibri" w:hAnsi="Calibri"/>
                <w:color w:val="000000"/>
                <w:sz w:val="22"/>
                <w:szCs w:val="22"/>
                <w:highlight w:val="white"/>
              </w:rPr>
              <w:t>4.3. Explicar, empleando los conocimientos científicos adecuados, cuáles son los beneficios de los numerosos productos de la tecnología Química y cómo su empleo y aplicación han contribuido al progreso de la sociedad.</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5.1. Reconocer la importante contribución en la Química del trabajo colaborativo entre especialistas de diferentes disciplinas científicas poniendo de relieve las conexiones entre las leyes y teorías propias de cada disciplina.</w:t>
            </w:r>
          </w:p>
          <w:p>
            <w:pPr>
              <w:pStyle w:val="NormalWeb"/>
              <w:widowControl w:val="false"/>
              <w:spacing w:beforeAutospacing="0" w:before="0" w:afterAutospacing="0" w:after="0"/>
              <w:jc w:val="both"/>
              <w:rPr/>
            </w:pPr>
            <w:r>
              <w:rPr>
                <w:rFonts w:cs="Calibri" w:ascii="Calibri" w:hAnsi="Calibri"/>
                <w:color w:val="000000"/>
                <w:sz w:val="22"/>
                <w:szCs w:val="22"/>
                <w:highlight w:val="white"/>
              </w:rPr>
              <w:t>5.2. Reconocer la aportación de la Química al desarrollo del pensamiento científico y a la autonomía de pensamiento crítico a través de la puesta en práctica de las metodologías de trabajo propias de las disciplinas científicas.</w:t>
            </w:r>
          </w:p>
          <w:p>
            <w:pPr>
              <w:pStyle w:val="NormalWeb"/>
              <w:widowControl w:val="false"/>
              <w:spacing w:beforeAutospacing="0" w:before="0" w:afterAutospacing="0" w:after="0"/>
              <w:jc w:val="both"/>
              <w:rPr/>
            </w:pPr>
            <w:r>
              <w:rPr>
                <w:rFonts w:cs="Calibri" w:ascii="Calibri" w:hAnsi="Calibri"/>
                <w:color w:val="000000"/>
                <w:sz w:val="22"/>
                <w:szCs w:val="22"/>
                <w:highlight w:val="white"/>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Web"/>
              <w:widowControl w:val="false"/>
              <w:spacing w:beforeAutospacing="0" w:before="0" w:afterAutospacing="0" w:after="0"/>
              <w:jc w:val="both"/>
              <w:rPr/>
            </w:pPr>
            <w:r>
              <w:rPr>
                <w:rFonts w:cs="Calibri" w:ascii="Calibri" w:hAnsi="Calibri"/>
                <w:color w:val="000000"/>
                <w:sz w:val="22"/>
                <w:szCs w:val="22"/>
                <w:highlight w:val="white"/>
              </w:rPr>
              <w:t>5.4. Representar y visualizar de forma eficiente los conceptos de Química que presenten mayores dificultades utilizando herramientas digitales y recursos variados, incluyendo experiencias de laboratorio real y virtual.</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Web"/>
              <w:widowControl w:val="false"/>
              <w:spacing w:beforeAutospacing="0" w:before="0" w:afterAutospacing="0" w:after="0"/>
              <w:jc w:val="both"/>
              <w:rPr/>
            </w:pPr>
            <w:r>
              <w:rPr>
                <w:rFonts w:cs="Calibri" w:ascii="Calibri" w:hAnsi="Calibri"/>
                <w:color w:val="000000"/>
                <w:sz w:val="22"/>
                <w:szCs w:val="22"/>
                <w:highlight w:val="white"/>
              </w:rPr>
              <w:t>6.2. Deducir las ideas fundamentales de otras disciplinas científicas (por ejemplo, la biología o la tecnología) por medio de la relación entre sus contenidos básicos y las leyes y teorías que son propias de la Química.</w:t>
            </w:r>
          </w:p>
          <w:p>
            <w:pPr>
              <w:pStyle w:val="NormalWeb"/>
              <w:widowControl w:val="false"/>
              <w:spacing w:beforeAutospacing="0" w:before="0" w:afterAutospacing="0" w:after="0"/>
              <w:jc w:val="both"/>
              <w:rPr/>
            </w:pPr>
            <w:r>
              <w:rPr>
                <w:rFonts w:cs="Calibri" w:ascii="Calibri" w:hAnsi="Calibri"/>
                <w:color w:val="000000"/>
                <w:sz w:val="22"/>
                <w:szCs w:val="22"/>
                <w:highlight w:val="white"/>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tc>
      </w:tr>
      <w:tr>
        <w:trPr/>
        <w:tc>
          <w:tcPr>
            <w:tcW w:w="6105" w:type="dxa"/>
            <w:tcBorders/>
            <w:shd w:color="auto" w:fill="auto" w:val="clear"/>
          </w:tcPr>
          <w:p>
            <w:pPr>
              <w:pStyle w:val="Normal"/>
              <w:widowControl w:val="false"/>
              <w:spacing w:lineRule="auto" w:line="240" w:before="0" w:after="0"/>
              <w:rPr/>
            </w:pPr>
            <w:r>
              <w:rPr>
                <w:b/>
                <w:sz w:val="22"/>
                <w:szCs w:val="22"/>
              </w:rPr>
              <w:t>Unidad  Reacciones redox:</w:t>
            </w:r>
          </w:p>
          <w:p>
            <w:pPr>
              <w:pStyle w:val="DC1"/>
              <w:widowControl w:val="false"/>
              <w:numPr>
                <w:ilvl w:val="0"/>
                <w:numId w:val="1"/>
              </w:numPr>
              <w:ind w:left="0" w:hanging="0"/>
              <w:rPr/>
            </w:pPr>
            <w:r>
              <w:rPr>
                <w:sz w:val="22"/>
                <w:szCs w:val="22"/>
              </w:rPr>
              <w:t>Estado de oxidación. Especies que se reducen u oxidan en una reacción a partir de la variación de su número de oxidación.</w:t>
            </w:r>
          </w:p>
          <w:p>
            <w:pPr>
              <w:pStyle w:val="DC1"/>
              <w:widowControl w:val="false"/>
              <w:numPr>
                <w:ilvl w:val="0"/>
                <w:numId w:val="1"/>
              </w:numPr>
              <w:ind w:left="0" w:hanging="0"/>
              <w:rPr/>
            </w:pPr>
            <w:r>
              <w:rPr>
                <w:sz w:val="22"/>
                <w:szCs w:val="22"/>
              </w:rPr>
              <w:t>Método del ion-electrón para ajustar ecuaciones Químicas de oxidación-reducción. Cálculos estequiométricos y volumetrías redox.</w:t>
            </w:r>
          </w:p>
          <w:p>
            <w:pPr>
              <w:pStyle w:val="DC1"/>
              <w:widowControl w:val="false"/>
              <w:numPr>
                <w:ilvl w:val="0"/>
                <w:numId w:val="1"/>
              </w:numPr>
              <w:ind w:left="0" w:hanging="0"/>
              <w:rPr/>
            </w:pPr>
            <w:r>
              <w:rPr>
                <w:sz w:val="22"/>
                <w:szCs w:val="22"/>
              </w:rPr>
              <w:t>Potencial estándar de un par redox. Espontaneidad de procesos químicos y electroquímicos que impliquen a dos pares redox.</w:t>
            </w:r>
          </w:p>
          <w:p>
            <w:pPr>
              <w:pStyle w:val="DC1"/>
              <w:widowControl w:val="false"/>
              <w:numPr>
                <w:ilvl w:val="0"/>
                <w:numId w:val="1"/>
              </w:numPr>
              <w:ind w:left="0" w:hanging="0"/>
              <w:rPr/>
            </w:pPr>
            <w:r>
              <w:rPr>
                <w:sz w:val="22"/>
                <w:szCs w:val="22"/>
              </w:rPr>
              <w:t>Leyes de Faraday: cantidad de carga eléctrica y las cantidades de sustancia en un proceso electroquímico. Cálculos estequiométricos en cubas electrolíticas.</w:t>
            </w:r>
          </w:p>
          <w:p>
            <w:pPr>
              <w:pStyle w:val="DC1"/>
              <w:widowControl w:val="false"/>
              <w:numPr>
                <w:ilvl w:val="0"/>
                <w:numId w:val="1"/>
              </w:numPr>
              <w:ind w:left="0" w:hanging="0"/>
              <w:rPr/>
            </w:pPr>
            <w:r>
              <w:rPr>
                <w:sz w:val="22"/>
                <w:szCs w:val="22"/>
              </w:rPr>
              <w:t>Reacciones de oxidación y reducción en la fabricación y funcionamiento de baterías eléctricas, celdas electrolíticas y pilas de combustible, así como en la prevención de la corrosión de metales.</w:t>
            </w:r>
          </w:p>
        </w:tc>
        <w:tc>
          <w:tcPr>
            <w:tcW w:w="4964" w:type="dxa"/>
            <w:tcBorders/>
            <w:shd w:color="auto" w:fill="auto" w:val="clear"/>
          </w:tcPr>
          <w:p>
            <w:pPr>
              <w:pStyle w:val="NormalWeb"/>
              <w:widowControl w:val="false"/>
              <w:spacing w:beforeAutospacing="0" w:before="0" w:afterAutospacing="0" w:after="0"/>
              <w:jc w:val="both"/>
              <w:rPr/>
            </w:pPr>
            <w:r>
              <w:rPr>
                <w:rFonts w:cs="Calibri" w:ascii="Calibri" w:hAnsi="Calibri"/>
                <w:color w:val="000000"/>
                <w:sz w:val="22"/>
                <w:szCs w:val="22"/>
                <w:highlight w:val="white"/>
              </w:rPr>
              <w:t>1.1. Reconocer la importancia de la Química y sus conexiones con otras materias en el desarrollo de la sociedad, el progreso de la ciencia, la tecnología, la economía y el desarrollo sostenible respetuoso con el medioambiente, identificando los avances en el campo de la Química que han sido fundamentales en estos aspectos.</w:t>
            </w:r>
          </w:p>
          <w:p>
            <w:pPr>
              <w:pStyle w:val="NormalWeb"/>
              <w:widowControl w:val="false"/>
              <w:spacing w:beforeAutospacing="0" w:before="0" w:afterAutospacing="0" w:after="0"/>
              <w:jc w:val="both"/>
              <w:rPr/>
            </w:pPr>
            <w:r>
              <w:rPr>
                <w:rFonts w:cs="Calibri" w:ascii="Calibri" w:hAnsi="Calibri"/>
                <w:color w:val="000000"/>
                <w:sz w:val="22"/>
                <w:szCs w:val="22"/>
                <w:highlight w:val="white"/>
              </w:rPr>
              <w:t>1.2. Describir los principales procesos químicos que suceden en el entorno y las propiedades de los sistemas materiales a partir de los conocimientos, destrezas y actitudes propios de las distintas disciplinas de la Química.</w:t>
            </w:r>
          </w:p>
          <w:p>
            <w:pPr>
              <w:pStyle w:val="NormalWeb"/>
              <w:widowControl w:val="false"/>
              <w:spacing w:beforeAutospacing="0" w:before="0" w:afterAutospacing="0" w:after="0"/>
              <w:jc w:val="both"/>
              <w:rPr/>
            </w:pPr>
            <w:r>
              <w:rPr>
                <w:rFonts w:cs="Calibri" w:ascii="Calibri" w:hAnsi="Calibri"/>
                <w:color w:val="000000"/>
                <w:sz w:val="22"/>
                <w:szCs w:val="22"/>
                <w:highlight w:val="white"/>
              </w:rPr>
              <w:t>1.3. Reconocer la naturaleza experimental e interdisciplinar de la Química y su influencia en la investigación científica y en los ámbitos económico y laboral actuales, considerando los hechos empíricos y sus aplicaciones en otros campos del conocimiento y la actividad humana.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2.1. Relacionar los principios de la Química con los principales problemas de la actualidad asociados al desarrollo de la ciencia y la tecnología, analizando cómo se comunican a través de los medios de comunicación o son observados en la experiencia cotidiana.</w:t>
            </w:r>
          </w:p>
          <w:p>
            <w:pPr>
              <w:pStyle w:val="NormalWeb"/>
              <w:widowControl w:val="false"/>
              <w:spacing w:beforeAutospacing="0" w:before="0" w:afterAutospacing="0" w:after="0"/>
              <w:jc w:val="both"/>
              <w:rPr/>
            </w:pPr>
            <w:r>
              <w:rPr>
                <w:rFonts w:cs="Calibri" w:ascii="Calibri" w:hAnsi="Calibri"/>
                <w:color w:val="000000"/>
                <w:sz w:val="22"/>
                <w:szCs w:val="22"/>
                <w:highlight w:val="white"/>
              </w:rPr>
              <w:t xml:space="preserve">2.2. Reconocer y comunicar que las bases de la Química constituyen un cuerpo de conocimiento imprescindible en un marco contextualde estudio y discusión de cuestiones significativas en los ámbitos social, económico, político y ético identificando la presencia e influencia de estas bases </w:t>
            </w:r>
          </w:p>
          <w:p>
            <w:pPr>
              <w:pStyle w:val="NormalWeb"/>
              <w:widowControl w:val="false"/>
              <w:spacing w:beforeAutospacing="0" w:before="0" w:afterAutospacing="0" w:after="0"/>
              <w:jc w:val="both"/>
              <w:rPr/>
            </w:pPr>
            <w:r>
              <w:rPr>
                <w:rFonts w:cs="Calibri" w:ascii="Calibri" w:hAnsi="Calibri"/>
                <w:color w:val="000000"/>
                <w:sz w:val="22"/>
                <w:szCs w:val="22"/>
                <w:highlight w:val="white"/>
              </w:rPr>
              <w:t>en dichos ámbitos.</w:t>
            </w:r>
          </w:p>
          <w:p>
            <w:pPr>
              <w:pStyle w:val="NormalWeb"/>
              <w:widowControl w:val="false"/>
              <w:spacing w:beforeAutospacing="0" w:before="0" w:afterAutospacing="0" w:after="0"/>
              <w:jc w:val="both"/>
              <w:rPr/>
            </w:pPr>
            <w:r>
              <w:rPr>
                <w:rFonts w:cs="Calibri" w:ascii="Calibri" w:hAnsi="Calibri"/>
                <w:color w:val="000000"/>
                <w:sz w:val="22"/>
                <w:szCs w:val="22"/>
                <w:highlight w:val="white"/>
              </w:rPr>
              <w:t>2.3. Aplicar de manera informada, coherente y razonada los modelos y leyes de la Química, explicando y prediciendo las</w:t>
            </w:r>
          </w:p>
          <w:p>
            <w:pPr>
              <w:pStyle w:val="NormalWeb"/>
              <w:widowControl w:val="false"/>
              <w:spacing w:beforeAutospacing="0" w:before="0" w:afterAutospacing="0" w:after="0"/>
              <w:jc w:val="both"/>
              <w:rPr/>
            </w:pPr>
            <w:r>
              <w:rPr>
                <w:rFonts w:cs="Calibri" w:ascii="Calibri" w:hAnsi="Calibri"/>
                <w:color w:val="000000"/>
                <w:sz w:val="22"/>
                <w:szCs w:val="22"/>
                <w:highlight w:val="white"/>
              </w:rPr>
              <w:t>consecuencias de experimentos, fenómenos naturales, procesos industriales y descubrimientos científicos.</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3.1. Utilizar correctamente las normas de nomenclatura de la IUPAC como base de un lenguaje universal para la Química que permita una comunicación efectiva en toda la comunidad científica, aplicando dichas normas al reconocimiento y escritura de fórmulas y nombres de diferentes especies Químicas.</w:t>
            </w:r>
          </w:p>
          <w:p>
            <w:pPr>
              <w:pStyle w:val="NormalWeb"/>
              <w:widowControl w:val="false"/>
              <w:spacing w:beforeAutospacing="0" w:before="0" w:afterAutospacing="0" w:after="0"/>
              <w:jc w:val="both"/>
              <w:rPr/>
            </w:pPr>
            <w:r>
              <w:rPr>
                <w:rFonts w:cs="Calibri" w:ascii="Calibri" w:hAnsi="Calibri"/>
                <w:color w:val="000000"/>
                <w:sz w:val="22"/>
                <w:szCs w:val="22"/>
                <w:highlight w:val="white"/>
              </w:rPr>
              <w:t>3.2. Emplear con rigor herramientas matemáticas para apoyar el desarrollo del pensamiento científico que se alcanza con el estudio de la Química, aplicando estas herramientas en la resolución de problemas usando ecuaciones, unidades, operaciones, etc.</w:t>
            </w:r>
          </w:p>
          <w:p>
            <w:pPr>
              <w:pStyle w:val="NormalWeb"/>
              <w:widowControl w:val="false"/>
              <w:spacing w:beforeAutospacing="0" w:before="0" w:afterAutospacing="0" w:after="0"/>
              <w:jc w:val="both"/>
              <w:rPr/>
            </w:pPr>
            <w:r>
              <w:rPr>
                <w:rFonts w:cs="Calibri" w:ascii="Calibri" w:hAnsi="Calibri"/>
                <w:color w:val="000000"/>
                <w:sz w:val="22"/>
                <w:szCs w:val="22"/>
                <w:highlight w:val="white"/>
              </w:rPr>
              <w:t>3.3. Practicar y hacer respetar las normas de seguridad relacionadas con la manipulación de sustancias Químicas en el laboratorio y en otros entornos, así como los procedimientos para la correcta gestión y eliminación de los residuos, utilizando correctamente los códigos de comunicación característicos de la Química.</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4.1. Analizar la composición Química de los sistemas materiales que se encuentran en el entorno más próximo, en el medio natural y en el entorno industrial y tecnológico, demostrando que sus propiedades, aplicaciones y beneficios están basados en los principios de la Química.</w:t>
            </w:r>
          </w:p>
          <w:p>
            <w:pPr>
              <w:pStyle w:val="NormalWeb"/>
              <w:widowControl w:val="false"/>
              <w:spacing w:beforeAutospacing="0" w:before="0" w:afterAutospacing="0" w:after="0"/>
              <w:jc w:val="both"/>
              <w:rPr/>
            </w:pPr>
            <w:r>
              <w:rPr>
                <w:rFonts w:cs="Calibri" w:ascii="Calibri" w:hAnsi="Calibri"/>
                <w:color w:val="000000"/>
                <w:sz w:val="22"/>
                <w:szCs w:val="22"/>
                <w:highlight w:val="white"/>
              </w:rPr>
              <w:t>4.2. Argumentar de manera informada, aplicando las teorías y leyes de la Química, que los efectos negativos de determinadas sustancias en el ambiente y en la salud se deben al mal uso que se hace de esos productos o negligencia, y no a la ciencia Química en sí.</w:t>
            </w:r>
          </w:p>
          <w:p>
            <w:pPr>
              <w:pStyle w:val="NormalWeb"/>
              <w:widowControl w:val="false"/>
              <w:spacing w:beforeAutospacing="0" w:before="0" w:afterAutospacing="0" w:after="0"/>
              <w:jc w:val="both"/>
              <w:rPr/>
            </w:pPr>
            <w:r>
              <w:rPr>
                <w:rFonts w:cs="Calibri" w:ascii="Calibri" w:hAnsi="Calibri"/>
                <w:color w:val="000000"/>
                <w:sz w:val="22"/>
                <w:szCs w:val="22"/>
                <w:highlight w:val="white"/>
              </w:rPr>
              <w:t>4.3. Explicar, empleando los conocimientos científicos adecuados, cuáles son los beneficios de los numerosos productos de la tecnología Química y cómo su empleo y aplicación han contribuido al progreso de la sociedad.</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5.1. Reconocer la importante contribución en la Química del trabajo colaborativo entre especialistas de diferentes disciplinas científicas poniendo de relieve las conexiones entre las leyes y teorías propias de cada disciplina.</w:t>
            </w:r>
          </w:p>
          <w:p>
            <w:pPr>
              <w:pStyle w:val="NormalWeb"/>
              <w:widowControl w:val="false"/>
              <w:spacing w:beforeAutospacing="0" w:before="0" w:afterAutospacing="0" w:after="0"/>
              <w:jc w:val="both"/>
              <w:rPr/>
            </w:pPr>
            <w:r>
              <w:rPr>
                <w:rFonts w:cs="Calibri" w:ascii="Calibri" w:hAnsi="Calibri"/>
                <w:color w:val="000000"/>
                <w:sz w:val="22"/>
                <w:szCs w:val="22"/>
                <w:highlight w:val="white"/>
              </w:rPr>
              <w:t>5.2. Reconocer la aportación de la Química al desarrollo del pensamiento científico y a la autonomía de pensamiento crítico a través de la puesta en práctica de las metodologías de trabajo propias de las disciplinas científicas.</w:t>
            </w:r>
          </w:p>
          <w:p>
            <w:pPr>
              <w:pStyle w:val="NormalWeb"/>
              <w:widowControl w:val="false"/>
              <w:spacing w:beforeAutospacing="0" w:before="0" w:afterAutospacing="0" w:after="0"/>
              <w:jc w:val="both"/>
              <w:rPr/>
            </w:pPr>
            <w:r>
              <w:rPr>
                <w:rFonts w:cs="Calibri" w:ascii="Calibri" w:hAnsi="Calibri"/>
                <w:color w:val="000000"/>
                <w:sz w:val="22"/>
                <w:szCs w:val="22"/>
                <w:highlight w:val="white"/>
              </w:rPr>
              <w:t>5.3. Resolver problemas relacionados con la Química y estudiar situaciones relacionadas con esta ciencia, reconociendo la importancia de la contribución particular de cada miembro del equipo y la diversidad de pensamiento y consolidando habilidades sociales positivas en el seno de equipos de trabajo.</w:t>
            </w:r>
          </w:p>
          <w:p>
            <w:pPr>
              <w:pStyle w:val="NormalWeb"/>
              <w:widowControl w:val="false"/>
              <w:spacing w:beforeAutospacing="0" w:before="0" w:afterAutospacing="0" w:after="0"/>
              <w:jc w:val="both"/>
              <w:rPr/>
            </w:pPr>
            <w:r>
              <w:rPr>
                <w:rFonts w:cs="Calibri" w:ascii="Calibri" w:hAnsi="Calibri"/>
                <w:color w:val="000000"/>
                <w:sz w:val="22"/>
                <w:szCs w:val="22"/>
                <w:highlight w:val="white"/>
              </w:rPr>
              <w:t>5.4. Representar y visualizar de forma eficiente los conceptos de Química que presenten mayores dificultades utilizando herramientas digitales y recursos variados, incluyendo experiencias de laboratorio real y virtual.</w:t>
            </w:r>
          </w:p>
          <w:p>
            <w:pPr>
              <w:pStyle w:val="NormalWeb"/>
              <w:widowControl w:val="false"/>
              <w:spacing w:beforeAutospacing="0" w:before="0" w:afterAutospacing="0" w:after="0"/>
              <w:jc w:val="both"/>
              <w:rPr>
                <w:rFonts w:ascii="Calibri" w:hAnsi="Calibri" w:cs="Calibri"/>
                <w:color w:val="000000"/>
                <w:sz w:val="22"/>
                <w:szCs w:val="22"/>
                <w:highlight w:val="white"/>
              </w:rPr>
            </w:pPr>
            <w:r>
              <w:rPr>
                <w:rFonts w:cs="Calibri" w:ascii="Calibri" w:hAnsi="Calibri"/>
                <w:color w:val="000000"/>
                <w:sz w:val="22"/>
                <w:szCs w:val="22"/>
                <w:highlight w:val="white"/>
              </w:rPr>
            </w:r>
          </w:p>
          <w:p>
            <w:pPr>
              <w:pStyle w:val="NormalWeb"/>
              <w:widowControl w:val="false"/>
              <w:spacing w:beforeAutospacing="0" w:before="0" w:afterAutospacing="0" w:after="0"/>
              <w:jc w:val="both"/>
              <w:rPr/>
            </w:pPr>
            <w:r>
              <w:rPr>
                <w:rFonts w:cs="Calibri" w:ascii="Calibri" w:hAnsi="Calibri"/>
                <w:color w:val="000000"/>
                <w:sz w:val="22"/>
                <w:szCs w:val="22"/>
                <w:highlight w:val="white"/>
              </w:rPr>
              <w:t>6.1. Explicar y razonar los conceptos fundamentales que se encuentran en la base de la Química aplicando los conceptos, leyes y teorías de otras disciplinas científicas (especialmente de la Física) a través de la experimentación y la indagación.</w:t>
            </w:r>
          </w:p>
          <w:p>
            <w:pPr>
              <w:pStyle w:val="NormalWeb"/>
              <w:widowControl w:val="false"/>
              <w:spacing w:beforeAutospacing="0" w:before="0" w:afterAutospacing="0" w:after="0"/>
              <w:jc w:val="both"/>
              <w:rPr/>
            </w:pPr>
            <w:r>
              <w:rPr>
                <w:rFonts w:cs="Calibri" w:ascii="Calibri" w:hAnsi="Calibri"/>
                <w:color w:val="000000"/>
                <w:sz w:val="22"/>
                <w:szCs w:val="22"/>
                <w:highlight w:val="white"/>
              </w:rPr>
              <w:t>6.2. Deducir las ideas fundamentales de otras disciplinas científicas (por ejemplo, la biología o la tecnología) por medio de la relación entre sus contenidos básicos y las leyes y teorías que son propias de la Química.</w:t>
            </w:r>
          </w:p>
          <w:p>
            <w:pPr>
              <w:pStyle w:val="NormalWeb"/>
              <w:widowControl w:val="false"/>
              <w:spacing w:beforeAutospacing="0" w:before="0" w:afterAutospacing="0" w:after="0"/>
              <w:jc w:val="both"/>
              <w:rPr/>
            </w:pPr>
            <w:r>
              <w:rPr>
                <w:rFonts w:cs="Calibri" w:ascii="Calibri" w:hAnsi="Calibri"/>
                <w:color w:val="000000"/>
                <w:sz w:val="22"/>
                <w:szCs w:val="22"/>
                <w:highlight w:val="white"/>
              </w:rPr>
              <w:t>6.3. Solucionar problemas y cuestiones que son característicos de la Química utilizando las herramientas provistas por las matemáticas y la tecnología, reconociendo así la relación entre los fenómenos experimentales y naturales y los conceptos propios de esta disciplina.</w:t>
            </w:r>
          </w:p>
        </w:tc>
      </w:tr>
    </w:tbl>
    <w:p>
      <w:pPr>
        <w:pStyle w:val="Normal"/>
        <w:rPr>
          <w:rFonts w:ascii="Calibri" w:hAnsi="Calibri" w:eastAsia="Cambria" w:cs="Cambria"/>
          <w:b/>
          <w:b/>
          <w:sz w:val="22"/>
          <w:szCs w:val="22"/>
          <w:u w:val="single"/>
        </w:rPr>
      </w:pPr>
      <w:r>
        <w:rPr>
          <w:rFonts w:eastAsia="Cambria" w:cs="Cambria"/>
          <w:b/>
          <w:sz w:val="22"/>
          <w:szCs w:val="22"/>
          <w:u w:val="single"/>
        </w:rPr>
      </w:r>
    </w:p>
    <w:p>
      <w:pPr>
        <w:pStyle w:val="Normal"/>
        <w:jc w:val="both"/>
        <w:rPr/>
      </w:pPr>
      <w:r>
        <w:rPr>
          <w:rFonts w:eastAsia="Cambria" w:cs="Cambria"/>
          <w:b/>
          <w:sz w:val="22"/>
          <w:szCs w:val="22"/>
          <w:u w:val="single"/>
        </w:rPr>
        <w:t xml:space="preserve">Temporalizacion: </w:t>
      </w:r>
    </w:p>
    <w:p>
      <w:pPr>
        <w:pStyle w:val="Normal"/>
        <w:jc w:val="both"/>
        <w:rPr/>
      </w:pPr>
      <w:r>
        <w:rPr>
          <w:rFonts w:eastAsia="Cambria" w:cs="Cambria"/>
          <w:b w:val="false"/>
          <w:bCs w:val="false"/>
          <w:sz w:val="22"/>
          <w:szCs w:val="22"/>
          <w:u w:val="none"/>
        </w:rPr>
        <w:t xml:space="preserve">1ªEVA Termodinámica y Cinética Química  </w:t>
      </w:r>
    </w:p>
    <w:p>
      <w:pPr>
        <w:pStyle w:val="Normal"/>
        <w:jc w:val="both"/>
        <w:rPr/>
      </w:pPr>
      <w:r>
        <w:rPr>
          <w:rFonts w:eastAsia="Cambria" w:cs="Cambria"/>
          <w:b w:val="false"/>
          <w:bCs w:val="false"/>
          <w:sz w:val="22"/>
          <w:szCs w:val="22"/>
          <w:u w:val="none"/>
        </w:rPr>
        <w:t xml:space="preserve">2ªEVA Equilibrio y Reacciones Ácido Base </w:t>
      </w:r>
    </w:p>
    <w:p>
      <w:pPr>
        <w:pStyle w:val="Normal"/>
        <w:jc w:val="both"/>
        <w:rPr/>
      </w:pPr>
      <w:r>
        <w:rPr>
          <w:rFonts w:eastAsia="Cambria" w:cs="Cambria"/>
          <w:b w:val="false"/>
          <w:bCs w:val="false"/>
          <w:sz w:val="22"/>
          <w:szCs w:val="22"/>
          <w:u w:val="none"/>
        </w:rPr>
        <w:t>3ªEVA Reacciones Redor, Estructura atómica, Sistema periódico y Enlace</w:t>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pPr>
      <w:r>
        <w:rPr>
          <w:rFonts w:eastAsia="Cambria" w:cs="Cambria"/>
          <w:b/>
          <w:sz w:val="22"/>
          <w:szCs w:val="22"/>
          <w:u w:val="single"/>
        </w:rPr>
        <w:t>3. PROCEDIMIENTOS E INSTRUMENTOS DE EVALUACIÓN</w:t>
      </w:r>
    </w:p>
    <w:p>
      <w:pPr>
        <w:pStyle w:val="Estiloparrafos"/>
        <w:spacing w:before="0" w:after="120"/>
        <w:rPr/>
      </w:pPr>
      <w:r>
        <w:rPr>
          <w:rFonts w:ascii="Calibri" w:hAnsi="Calibri"/>
          <w:sz w:val="22"/>
          <w:szCs w:val="22"/>
        </w:rPr>
        <w:t>Por medio de los procedimientos evaluaremos, no solo al alumno, sino también la actividad educativa que se desarrolla en el aula, así como todos los elementos que integran el proceso de enseñanza-aprendizaje.</w:t>
      </w:r>
    </w:p>
    <w:p>
      <w:pPr>
        <w:pStyle w:val="Estiloparrafos"/>
        <w:spacing w:before="0" w:after="120"/>
        <w:rPr/>
      </w:pPr>
      <w:r>
        <w:rPr>
          <w:rFonts w:ascii="Calibri" w:hAnsi="Calibri"/>
          <w:sz w:val="22"/>
          <w:szCs w:val="22"/>
        </w:rPr>
        <w:t>De esta manera las actividades de evaluación servirán para conocer la adecuación del proceso educativo a las características del alumno (evaluación continua), y ajustar la ayuda pedagógica a sus necesidades reales (evaluación formativa); y conocer, en definitiva, el nivel de desarrollo intelectual y personal alcanzado por el alumno, en todos sus aspectos, y como resultado de la intervención educativa (evaluación integradora).</w:t>
      </w:r>
    </w:p>
    <w:p>
      <w:pPr>
        <w:pStyle w:val="Estiloparrafos"/>
        <w:spacing w:before="0" w:after="120"/>
        <w:rPr/>
      </w:pPr>
      <w:r>
        <w:rPr>
          <w:rFonts w:ascii="Calibri" w:hAnsi="Calibri"/>
          <w:sz w:val="22"/>
          <w:szCs w:val="22"/>
        </w:rPr>
        <w:t xml:space="preserve">Los </w:t>
      </w:r>
      <w:r>
        <w:rPr>
          <w:rFonts w:ascii="Calibri" w:hAnsi="Calibri"/>
          <w:b/>
          <w:bCs/>
          <w:sz w:val="22"/>
          <w:szCs w:val="22"/>
        </w:rPr>
        <w:t>instrumentos de evaluación</w:t>
      </w:r>
      <w:r>
        <w:rPr>
          <w:rFonts w:ascii="Calibri" w:hAnsi="Calibri"/>
          <w:sz w:val="22"/>
          <w:szCs w:val="22"/>
        </w:rPr>
        <w:t xml:space="preserve"> que utilizaremos son los siguientes: </w:t>
      </w:r>
    </w:p>
    <w:p>
      <w:pPr>
        <w:pStyle w:val="Estiloparrafos"/>
        <w:numPr>
          <w:ilvl w:val="0"/>
          <w:numId w:val="18"/>
        </w:numPr>
        <w:spacing w:before="0" w:after="120"/>
        <w:rPr/>
      </w:pPr>
      <w:r>
        <w:rPr>
          <w:rFonts w:ascii="Calibri" w:hAnsi="Calibri"/>
          <w:sz w:val="22"/>
          <w:szCs w:val="22"/>
        </w:rPr>
        <w:t>Observación sistemática del trabajo diario (atención, participación, colaboración y respeto a los demás y a los materiales).</w:t>
      </w:r>
    </w:p>
    <w:p>
      <w:pPr>
        <w:pStyle w:val="Estiloparrafos"/>
        <w:numPr>
          <w:ilvl w:val="0"/>
          <w:numId w:val="18"/>
        </w:numPr>
        <w:spacing w:before="0" w:after="120"/>
        <w:rPr/>
      </w:pPr>
      <w:r>
        <w:rPr>
          <w:rFonts w:ascii="Calibri" w:hAnsi="Calibri"/>
          <w:sz w:val="22"/>
          <w:szCs w:val="22"/>
        </w:rPr>
        <w:t xml:space="preserve">Realización de un cuestionarios web o de trabajos. </w:t>
      </w:r>
    </w:p>
    <w:p>
      <w:pPr>
        <w:pStyle w:val="Estiloparrafos"/>
        <w:numPr>
          <w:ilvl w:val="0"/>
          <w:numId w:val="18"/>
        </w:numPr>
        <w:spacing w:before="0" w:after="120"/>
        <w:rPr/>
      </w:pPr>
      <w:r>
        <w:rPr>
          <w:rFonts w:ascii="Calibri" w:hAnsi="Calibri"/>
          <w:sz w:val="22"/>
          <w:szCs w:val="22"/>
        </w:rPr>
        <w:t>Informes de prácticas de laboratorio si las hubiera.</w:t>
      </w:r>
    </w:p>
    <w:p>
      <w:pPr>
        <w:pStyle w:val="Estiloparrafos"/>
        <w:numPr>
          <w:ilvl w:val="0"/>
          <w:numId w:val="18"/>
        </w:numPr>
        <w:spacing w:before="0" w:after="120"/>
        <w:rPr/>
      </w:pPr>
      <w:r>
        <w:rPr>
          <w:rFonts w:ascii="Calibri" w:hAnsi="Calibri"/>
          <w:sz w:val="22"/>
          <w:szCs w:val="22"/>
          <w:u w:val="single"/>
        </w:rPr>
        <w:t xml:space="preserve">Exámenes </w:t>
      </w:r>
    </w:p>
    <w:p>
      <w:pPr>
        <w:pStyle w:val="Estiloparrafos"/>
        <w:spacing w:before="0" w:after="120"/>
        <w:ind w:left="567" w:hanging="0"/>
        <w:rPr/>
      </w:pPr>
      <w:r>
        <w:rPr>
          <w:rFonts w:ascii="Calibri" w:hAnsi="Calibri"/>
          <w:sz w:val="22"/>
          <w:szCs w:val="22"/>
        </w:rPr>
        <w:t xml:space="preserve">Las pruebas podrán contener problemas, cuestiones de respuesta concreta, de verdadero-falso, de relacionar conceptos y de interpretación de datos. Se podrá incluir algún texto científico con preguntas sobre lo que han leído. </w:t>
      </w:r>
    </w:p>
    <w:p>
      <w:pPr>
        <w:pStyle w:val="Estiloparrafos"/>
        <w:spacing w:before="0" w:after="120"/>
        <w:ind w:left="567" w:hanging="0"/>
        <w:rPr/>
      </w:pPr>
      <w:r>
        <w:rPr>
          <w:rFonts w:eastAsia="Cambria" w:cs="Cambria" w:ascii="Calibri" w:hAnsi="Calibri"/>
          <w:sz w:val="22"/>
          <w:szCs w:val="22"/>
        </w:rPr>
        <w:t xml:space="preserve">Está previsto realizar dos pruebas escritas por evaluación. </w:t>
      </w:r>
    </w:p>
    <w:p>
      <w:pPr>
        <w:pStyle w:val="Normal"/>
        <w:jc w:val="both"/>
        <w:rPr/>
      </w:pPr>
      <w:r>
        <w:rPr>
          <w:rFonts w:eastAsia="Cambria" w:cs="Cambria"/>
          <w:b/>
          <w:sz w:val="22"/>
          <w:szCs w:val="22"/>
          <w:u w:val="single"/>
        </w:rPr>
        <w:t>4. CRITERIOS DE CALIFICACIÓN</w:t>
      </w:r>
    </w:p>
    <w:p>
      <w:pPr>
        <w:pStyle w:val="Normal"/>
        <w:jc w:val="both"/>
        <w:rPr/>
      </w:pPr>
      <w:r>
        <w:rPr>
          <w:rFonts w:eastAsia="Cambria" w:cs="Cambria"/>
          <w:sz w:val="22"/>
          <w:szCs w:val="22"/>
        </w:rPr>
        <w:t>1. La calificación de cada evaluación se obtiene considerando de forma ponderada los siguientes</w:t>
      </w:r>
    </w:p>
    <w:p>
      <w:pPr>
        <w:pStyle w:val="Normal"/>
        <w:jc w:val="both"/>
        <w:rPr/>
      </w:pPr>
      <w:r>
        <w:rPr>
          <w:rFonts w:eastAsia="Cambria" w:cs="Cambria"/>
          <w:sz w:val="22"/>
          <w:szCs w:val="22"/>
        </w:rPr>
        <w:t>elementos:</w:t>
      </w:r>
    </w:p>
    <w:p>
      <w:pPr>
        <w:pStyle w:val="Normal"/>
        <w:jc w:val="both"/>
        <w:rPr/>
      </w:pPr>
      <w:r>
        <w:rPr>
          <w:rFonts w:eastAsia="Cambria" w:cs="Cambria"/>
          <w:sz w:val="22"/>
          <w:szCs w:val="22"/>
        </w:rPr>
        <w:t xml:space="preserve">    • </w:t>
      </w:r>
      <w:r>
        <w:rPr>
          <w:rFonts w:eastAsia="Cambria" w:cs="Cambria"/>
          <w:sz w:val="22"/>
          <w:szCs w:val="22"/>
        </w:rPr>
        <w:t>95%: la calificación obtenida en las diversas pruebas escritas objetivas.</w:t>
      </w:r>
      <w:r>
        <w:rPr>
          <w:rFonts w:eastAsia="Cambria" w:cs="Cambria" w:ascii="Arial" w:hAnsi="Arial"/>
          <w:sz w:val="20"/>
          <w:szCs w:val="20"/>
        </w:rPr>
        <w:t xml:space="preserve"> Estas estarán diseñadas para incluir la evaluación de cada competencia, tal y como indica el cuadro. </w:t>
      </w:r>
    </w:p>
    <w:p>
      <w:pPr>
        <w:pStyle w:val="Normal"/>
        <w:jc w:val="both"/>
        <w:rPr/>
      </w:pPr>
      <w:r>
        <w:rPr>
          <w:rFonts w:eastAsia="Cambria" w:cs="Cambria"/>
          <w:sz w:val="22"/>
          <w:szCs w:val="22"/>
        </w:rPr>
        <w:t xml:space="preserve">    • </w:t>
      </w:r>
      <w:r>
        <w:rPr>
          <w:rFonts w:eastAsia="Cambria" w:cs="Cambria"/>
          <w:sz w:val="22"/>
          <w:szCs w:val="22"/>
        </w:rPr>
        <w:t>5%: el promedio de las calificaciones de los cuestionarios , de las tareas específicas y de las prácticas que se realicen.</w:t>
      </w:r>
      <w:r>
        <w:rPr>
          <w:rFonts w:eastAsia="Cambria" w:cs="Cambria" w:ascii="Arial" w:hAnsi="Arial"/>
          <w:sz w:val="20"/>
          <w:szCs w:val="20"/>
        </w:rPr>
        <w:t xml:space="preserve"> Estas estarán diseñadas para incluir la evaluación de cada competencia, tal y como indica el cuadro </w:t>
      </w:r>
    </w:p>
    <w:p>
      <w:pPr>
        <w:pStyle w:val="Cuerpodetexto"/>
        <w:bidi w:val="0"/>
        <w:spacing w:lineRule="auto" w:line="288" w:before="0" w:after="0"/>
        <w:rPr/>
      </w:pPr>
      <w:r>
        <w:rPr>
          <w:rFonts w:ascii="Calibri;sans-serif" w:hAnsi="Calibri;sans-serif"/>
          <w:b w:val="false"/>
          <w:i w:val="false"/>
          <w:caps w:val="false"/>
          <w:smallCaps w:val="false"/>
          <w:strike w:val="false"/>
          <w:dstrike w:val="false"/>
          <w:color w:val="auto"/>
          <w:sz w:val="22"/>
          <w:u w:val="none"/>
          <w:effect w:val="none"/>
        </w:rPr>
        <w:t>Los exámenes se diseñan  de tal forma que el 9</w:t>
      </w:r>
      <w:r>
        <w:rPr>
          <w:rFonts w:ascii="Calibri;sans-serif" w:hAnsi="Calibri;sans-serif"/>
          <w:b w:val="false"/>
          <w:i w:val="false"/>
          <w:caps w:val="false"/>
          <w:smallCaps w:val="false"/>
          <w:strike w:val="false"/>
          <w:dstrike w:val="false"/>
          <w:color w:val="auto"/>
          <w:sz w:val="22"/>
          <w:u w:val="none"/>
          <w:effect w:val="none"/>
        </w:rPr>
        <w:t>5</w:t>
      </w:r>
      <w:r>
        <w:rPr>
          <w:rFonts w:ascii="Calibri;sans-serif" w:hAnsi="Calibri;sans-serif"/>
          <w:b w:val="false"/>
          <w:i w:val="false"/>
          <w:caps w:val="false"/>
          <w:smallCaps w:val="false"/>
          <w:strike w:val="false"/>
          <w:dstrike w:val="false"/>
          <w:color w:val="auto"/>
          <w:sz w:val="22"/>
          <w:u w:val="none"/>
          <w:effect w:val="none"/>
        </w:rPr>
        <w:t>% se reparta entre las competencias específicas 1, 2 y 3.1,  3.2  y 3.3 como se indica en este cuadro</w:t>
      </w:r>
    </w:p>
    <w:p>
      <w:pPr>
        <w:pStyle w:val="Cuerpodetexto"/>
        <w:rPr/>
      </w:pPr>
      <w:r>
        <w:rPr/>
      </w:r>
    </w:p>
    <w:p>
      <w:pPr>
        <w:pStyle w:val="Cuerpodetexto"/>
        <w:bidi w:val="0"/>
        <w:spacing w:lineRule="auto" w:line="288" w:before="0" w:after="0"/>
        <w:jc w:val="both"/>
        <w:rPr>
          <w:rFonts w:ascii="Arial" w:hAnsi="Arial" w:eastAsia="Cambria" w:cs="Cambria"/>
          <w:sz w:val="20"/>
          <w:szCs w:val="20"/>
        </w:rPr>
      </w:pPr>
      <w:r>
        <w:rPr>
          <w:rFonts w:eastAsia="Cambria" w:cs="Cambria" w:ascii="Arial" w:hAnsi="Arial"/>
          <w:caps w:val="false"/>
          <w:smallCaps w:val="false"/>
          <w:strike w:val="false"/>
          <w:dstrike w:val="false"/>
          <w:color w:val="EE0000"/>
          <w:sz w:val="20"/>
          <w:szCs w:val="20"/>
          <w:u w:val="none"/>
          <w:effect w:val="none"/>
        </w:rPr>
        <w:t> </w:t>
      </w:r>
      <w:r>
        <w:rPr>
          <w:rFonts w:eastAsia="Cambria" w:cs="Cambria" w:ascii="Calibri;sans-serif" w:hAnsi="Calibri;sans-serif"/>
          <w:b w:val="false"/>
          <w:i w:val="false"/>
          <w:caps w:val="false"/>
          <w:smallCaps w:val="false"/>
          <w:strike w:val="false"/>
          <w:dstrike w:val="false"/>
          <w:color w:val="auto"/>
          <w:sz w:val="22"/>
          <w:szCs w:val="20"/>
          <w:u w:val="none"/>
          <w:effect w:val="none"/>
        </w:rPr>
        <w:t xml:space="preserve">Las actividades que suponen el </w:t>
      </w:r>
      <w:r>
        <w:rPr>
          <w:rFonts w:eastAsia="Cambria" w:cs="Cambria" w:ascii="Calibri;sans-serif" w:hAnsi="Calibri;sans-serif"/>
          <w:b w:val="false"/>
          <w:i w:val="false"/>
          <w:caps w:val="false"/>
          <w:smallCaps w:val="false"/>
          <w:strike w:val="false"/>
          <w:dstrike w:val="false"/>
          <w:color w:val="auto"/>
          <w:sz w:val="22"/>
          <w:szCs w:val="20"/>
          <w:u w:val="none"/>
          <w:effect w:val="none"/>
        </w:rPr>
        <w:t>5</w:t>
      </w:r>
      <w:r>
        <w:rPr>
          <w:rFonts w:eastAsia="Cambria" w:cs="Cambria" w:ascii="Calibri;sans-serif" w:hAnsi="Calibri;sans-serif"/>
          <w:b w:val="false"/>
          <w:i w:val="false"/>
          <w:caps w:val="false"/>
          <w:smallCaps w:val="false"/>
          <w:strike w:val="false"/>
          <w:dstrike w:val="false"/>
          <w:color w:val="auto"/>
          <w:sz w:val="22"/>
          <w:szCs w:val="20"/>
          <w:u w:val="none"/>
          <w:effect w:val="none"/>
        </w:rPr>
        <w:t xml:space="preserve">% estarán diseñadas para cumplir el reparto entre las competencias 3.3, 4, 5 y 6 como se indica en este cuadro. </w:t>
      </w:r>
      <w:r>
        <w:rPr>
          <w:rFonts w:eastAsia="Cambria" w:cs="Cambria" w:ascii="Calibri;sans-serif" w:hAnsi="Calibri;sans-serif"/>
          <w:b w:val="false"/>
          <w:i w:val="false"/>
          <w:caps w:val="false"/>
          <w:smallCaps w:val="false"/>
          <w:strike w:val="false"/>
          <w:dstrike w:val="false"/>
          <w:color w:val="EE0000"/>
          <w:sz w:val="22"/>
          <w:szCs w:val="20"/>
          <w:u w:val="none"/>
          <w:effect w:val="none"/>
        </w:rPr>
        <w:t>. </w:t>
      </w:r>
    </w:p>
    <w:tbl>
      <w:tblPr>
        <w:tblW w:w="8475" w:type="dxa"/>
        <w:jc w:val="left"/>
        <w:tblInd w:w="24" w:type="dxa"/>
        <w:tblCellMar>
          <w:top w:w="100" w:type="dxa"/>
          <w:left w:w="100" w:type="dxa"/>
          <w:bottom w:w="100" w:type="dxa"/>
          <w:right w:w="100" w:type="dxa"/>
        </w:tblCellMar>
      </w:tblPr>
      <w:tblGrid>
        <w:gridCol w:w="1934"/>
        <w:gridCol w:w="750"/>
        <w:gridCol w:w="2475"/>
        <w:gridCol w:w="3315"/>
      </w:tblGrid>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COMPETENCIAS ESPECÍFICAS</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rPr/>
            </w:pPr>
            <w:r>
              <w:rPr>
                <w:rFonts w:ascii="Calibri;sans-serif" w:hAnsi="Calibri;sans-serif"/>
                <w:b/>
                <w:i w:val="false"/>
                <w:caps w:val="false"/>
                <w:smallCaps w:val="false"/>
                <w:strike w:val="false"/>
                <w:dstrike w:val="false"/>
                <w:color w:val="000000"/>
                <w:sz w:val="22"/>
                <w:u w:val="none"/>
                <w:effect w:val="none"/>
              </w:rPr>
              <w:t>CRITERIOS DE EVALUACIÓN</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INSTRUMENTOS DE EVALUACIÓN</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1.</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36%</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1.1</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1.3 </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FQ.2</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32%</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2.3.</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FQ.3.</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29%</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3.1., 3.2 y3.3.  27% </w:t>
            </w:r>
          </w:p>
          <w:p>
            <w:pPr>
              <w:pStyle w:val="Contenidodelatabla"/>
              <w:bidi w:val="0"/>
              <w:spacing w:lineRule="auto" w:line="288" w:before="0" w:after="0"/>
              <w:rPr/>
            </w:pPr>
            <w:r>
              <w:rPr>
                <w:rFonts w:ascii="Calibri;sans-serif" w:hAnsi="Calibri;sans-serif"/>
                <w:b w:val="false"/>
                <w:i w:val="false"/>
                <w:caps w:val="false"/>
                <w:smallCaps w:val="false"/>
                <w:strike w:val="false"/>
                <w:dstrike w:val="false"/>
                <w:color w:val="000000"/>
                <w:sz w:val="22"/>
                <w:u w:val="none"/>
                <w:effect w:val="none"/>
              </w:rPr>
              <w:t>3.3                2%</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 3.1 y 3.2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EJERCICIOS DE CLASE, Y CASA 3.3 </w:t>
            </w:r>
          </w:p>
          <w:p>
            <w:pPr>
              <w:pStyle w:val="Contenidodelatabla"/>
              <w:bidi w:val="0"/>
              <w:spacing w:lineRule="auto" w:line="288" w:before="0" w:after="0"/>
              <w:jc w:val="both"/>
              <w:rPr/>
            </w:pPr>
            <w:r>
              <w:rPr>
                <w:caps w:val="false"/>
                <w:smallCaps w:val="false"/>
                <w:strike w:val="false"/>
                <w:dstrike w:val="false"/>
                <w:color w:val="000000"/>
                <w:u w:val="none"/>
                <w:effect w:val="none"/>
              </w:rPr>
              <w:t> </w:t>
            </w:r>
            <w:r>
              <w:rPr>
                <w:rFonts w:ascii="Calibri;sans-serif" w:hAnsi="Calibri;sans-serif"/>
                <w:b w:val="false"/>
                <w:i w:val="false"/>
                <w:caps w:val="false"/>
                <w:smallCaps w:val="false"/>
                <w:strike w:val="false"/>
                <w:dstrike w:val="false"/>
                <w:color w:val="000000"/>
                <w:sz w:val="22"/>
                <w:u w:val="none"/>
                <w:effect w:val="none"/>
              </w:rPr>
              <w:t>INFORMES DE LABORATORIO 3.3 </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FQ.4.</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1 %</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4.2 </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ACTIVIDADES DE MANEJO DE LA INFORMACIÓN</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5</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1 %</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5.2</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 </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FQ.6.</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1 %</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6.2</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 </w:t>
            </w:r>
          </w:p>
        </w:tc>
      </w:tr>
    </w:tbl>
    <w:p>
      <w:pPr>
        <w:pStyle w:val="Normal"/>
        <w:jc w:val="both"/>
        <w:rPr>
          <w:rFonts w:ascii="Arial" w:hAnsi="Arial" w:eastAsia="Cambria" w:cs="Cambria"/>
          <w:sz w:val="20"/>
          <w:szCs w:val="20"/>
        </w:rPr>
      </w:pPr>
      <w:r>
        <w:rPr>
          <w:rFonts w:eastAsia="Cambria" w:cs="Cambria" w:ascii="Arial" w:hAnsi="Arial"/>
          <w:sz w:val="20"/>
          <w:szCs w:val="20"/>
        </w:rPr>
      </w:r>
    </w:p>
    <w:p>
      <w:pPr>
        <w:pStyle w:val="Normal"/>
        <w:jc w:val="both"/>
        <w:rPr/>
      </w:pPr>
      <w:r>
        <w:rPr>
          <w:rFonts w:eastAsia="Cambria" w:cs="Cambria"/>
          <w:sz w:val="22"/>
          <w:szCs w:val="22"/>
        </w:rPr>
        <w:t xml:space="preserve">En cada evaluación se intentara realizar al menos dos pruebas escritas. </w:t>
      </w:r>
    </w:p>
    <w:p>
      <w:pPr>
        <w:pStyle w:val="Normal"/>
        <w:jc w:val="both"/>
        <w:rPr/>
      </w:pPr>
      <w:r>
        <w:rPr>
          <w:rFonts w:eastAsia="Cambria" w:cs="Cambria"/>
          <w:sz w:val="22"/>
          <w:szCs w:val="22"/>
        </w:rPr>
        <w:t xml:space="preserve">Dado que la calificación de cada evaluación ha de ser un número sin decimales, se procederá a truncar la nota obtenida. Para la media final se tendrán en cuenta todos los decimales. </w:t>
      </w:r>
    </w:p>
    <w:p>
      <w:pPr>
        <w:pStyle w:val="Normal"/>
        <w:jc w:val="both"/>
        <w:rPr/>
      </w:pPr>
      <w:r>
        <w:rPr>
          <w:rFonts w:eastAsia="Cambria" w:cs="Cambria"/>
          <w:sz w:val="22"/>
          <w:szCs w:val="22"/>
        </w:rPr>
        <w:t>En un momento determinado del curso con previo aviso se realizará una prueba escrita de</w:t>
      </w:r>
    </w:p>
    <w:p>
      <w:pPr>
        <w:pStyle w:val="Normal"/>
        <w:jc w:val="both"/>
        <w:rPr/>
      </w:pPr>
      <w:r>
        <w:rPr>
          <w:rFonts w:eastAsia="Cambria" w:cs="Cambria"/>
          <w:sz w:val="22"/>
          <w:szCs w:val="22"/>
        </w:rPr>
        <w:t>formulación inorgánica para todos los alumnos/as. Será necesario obtener un 80% de aciertos o superior en esa prueba para poder aprobar la asignatura. La calificación de dicha prueba no repercutirá en la calificación de la asignatura.</w:t>
      </w:r>
    </w:p>
    <w:p>
      <w:pPr>
        <w:pStyle w:val="Normal"/>
        <w:jc w:val="both"/>
        <w:rPr/>
      </w:pPr>
      <w:r>
        <w:rPr>
          <w:rFonts w:eastAsia="Cambria" w:cs="Cambria"/>
          <w:sz w:val="22"/>
          <w:szCs w:val="22"/>
        </w:rPr>
        <w:t xml:space="preserve"> </w:t>
      </w:r>
    </w:p>
    <w:p>
      <w:pPr>
        <w:pStyle w:val="Normal"/>
        <w:jc w:val="both"/>
        <w:rPr/>
      </w:pPr>
      <w:r>
        <w:rPr>
          <w:rFonts w:eastAsia="Cambria" w:cs="Cambria"/>
          <w:sz w:val="22"/>
          <w:szCs w:val="22"/>
        </w:rPr>
        <w:t>2. Después de cada evaluación, se realizará un examen que englobe  todos los contenidos desarrollados durante esa evaluación. A este examen se tendrán que presentar todos los alumnos/as que cursen la materia.</w:t>
      </w:r>
    </w:p>
    <w:p>
      <w:pPr>
        <w:pStyle w:val="Normal"/>
        <w:jc w:val="both"/>
        <w:rPr/>
      </w:pPr>
      <w:r>
        <w:rPr>
          <w:rFonts w:eastAsia="Cambria" w:cs="Cambria"/>
          <w:sz w:val="22"/>
          <w:szCs w:val="22"/>
        </w:rPr>
        <w:t>En el caso de alumnos/as que hubieran obtenido una nota inferior a 5 en la materia en esa evaluación, podrán optar a aprobar la evaluación obteniendo una calificación de 5 o superior en ese examen.</w:t>
      </w:r>
    </w:p>
    <w:p>
      <w:pPr>
        <w:pStyle w:val="Normal"/>
        <w:jc w:val="both"/>
        <w:rPr/>
      </w:pPr>
      <w:r>
        <w:rPr>
          <w:rFonts w:eastAsia="Cambria" w:cs="Cambria"/>
          <w:sz w:val="22"/>
          <w:szCs w:val="22"/>
        </w:rPr>
        <w:t>En relación a los alumnos/as que hubieran obtenido una calificación de 5 o superior en la</w:t>
      </w:r>
    </w:p>
    <w:p>
      <w:pPr>
        <w:pStyle w:val="Normal"/>
        <w:jc w:val="both"/>
        <w:rPr/>
      </w:pPr>
      <w:r>
        <w:rPr>
          <w:rFonts w:eastAsia="Cambria" w:cs="Cambria"/>
          <w:sz w:val="22"/>
          <w:szCs w:val="22"/>
        </w:rPr>
        <w:t>materia en esa evaluación, pueden:</w:t>
      </w:r>
    </w:p>
    <w:p>
      <w:pPr>
        <w:pStyle w:val="Normal"/>
        <w:jc w:val="both"/>
        <w:rPr/>
      </w:pPr>
      <w:r>
        <w:rPr>
          <w:rFonts w:eastAsia="Cambria" w:cs="Cambria"/>
          <w:sz w:val="22"/>
          <w:szCs w:val="22"/>
        </w:rPr>
        <w:t xml:space="preserve"> </w:t>
      </w:r>
      <w:r>
        <w:rPr>
          <w:rFonts w:eastAsia="Cambria" w:cs="Cambria"/>
          <w:sz w:val="22"/>
          <w:szCs w:val="22"/>
        </w:rPr>
        <w:t>Mejorar su calificación si obtienen una calificación superior a la original en dicha prueba, quedando la nueva nota para esa evaluación.</w:t>
      </w:r>
    </w:p>
    <w:p>
      <w:pPr>
        <w:pStyle w:val="Normal"/>
        <w:jc w:val="both"/>
        <w:rPr/>
      </w:pPr>
      <w:r>
        <w:rPr>
          <w:rFonts w:eastAsia="Cambria" w:cs="Cambria"/>
          <w:sz w:val="22"/>
          <w:szCs w:val="22"/>
        </w:rPr>
        <w:t xml:space="preserve"> </w:t>
      </w:r>
      <w:r>
        <w:rPr>
          <w:rFonts w:eastAsia="Cambria" w:cs="Cambria"/>
          <w:sz w:val="22"/>
          <w:szCs w:val="22"/>
        </w:rPr>
        <w:t>Mantener su calificación si obtienen una calificación igual o hasta 2 puntos inferior a la calificación original.</w:t>
      </w:r>
    </w:p>
    <w:p>
      <w:pPr>
        <w:pStyle w:val="Normal"/>
        <w:jc w:val="both"/>
        <w:rPr/>
      </w:pPr>
      <w:r>
        <w:rPr>
          <w:rFonts w:eastAsia="Cambria" w:cs="Cambria"/>
          <w:sz w:val="22"/>
          <w:szCs w:val="22"/>
        </w:rPr>
        <w:t xml:space="preserve"> </w:t>
      </w:r>
      <w:r>
        <w:rPr>
          <w:rFonts w:eastAsia="Cambria" w:cs="Cambria"/>
          <w:sz w:val="22"/>
          <w:szCs w:val="22"/>
        </w:rPr>
        <w:t>Aminorar su calificación si obtienen una calificación al menos 2 puntos inferior a la original. En este caso se hará la media de las dos calificaciones a la hora de asignar una nota a esa evaluación. Es preciso destacar que en el caso de alumnos/as que hubieran aprobado originalmente la evaluación, la nota media después de incorporar la calificación de esta prueba no podrá ser inferior a 5.</w:t>
      </w:r>
    </w:p>
    <w:p>
      <w:pPr>
        <w:pStyle w:val="Normal"/>
        <w:jc w:val="both"/>
        <w:rPr/>
      </w:pPr>
      <w:r>
        <w:rPr>
          <w:rFonts w:eastAsia="Cambria" w:cs="Cambria"/>
          <w:sz w:val="22"/>
          <w:szCs w:val="22"/>
        </w:rPr>
        <w:t>3. La nota final ordinaria se obtendrá de hacer la media aritmética ponderada según el numero de sesiones de cada evaluación,  de las tres evaluaciones. Si un alumno/a tiene dos evaluaciones aprobadas y una suspensa, pero la media de las calificaciones de las tres evaluaciones es superior a 5, se considerará que el alumno/a tiene la asignatura aprobada. En ningún caso podrá aprobar la asignatura un alumno/a que tuviera dos evaluaciones suspensas.</w:t>
      </w:r>
    </w:p>
    <w:p>
      <w:pPr>
        <w:pStyle w:val="Normal"/>
        <w:jc w:val="both"/>
        <w:rPr/>
      </w:pPr>
      <w:r>
        <w:rPr>
          <w:rFonts w:eastAsia="Cambria" w:cs="Cambria"/>
          <w:sz w:val="22"/>
          <w:szCs w:val="22"/>
        </w:rPr>
        <w:t>4.</w:t>
      </w:r>
      <w:bookmarkStart w:id="25" w:name="__DdeLink__10511_3229661685"/>
      <w:r>
        <w:rPr>
          <w:rFonts w:eastAsia="Cambria" w:cs="Cambria"/>
          <w:sz w:val="22"/>
          <w:szCs w:val="22"/>
        </w:rPr>
        <w:t xml:space="preserve"> </w:t>
      </w:r>
      <w:r>
        <w:rPr>
          <w:rFonts w:eastAsia="Cambria" w:cs="Cambria"/>
          <w:b/>
          <w:bCs/>
          <w:sz w:val="22"/>
          <w:szCs w:val="22"/>
        </w:rPr>
        <w:t xml:space="preserve">Prueba extraordinaria: </w:t>
      </w:r>
      <w:r>
        <w:rPr>
          <w:rFonts w:eastAsia="Cambria" w:cs="Cambria"/>
          <w:sz w:val="22"/>
          <w:szCs w:val="22"/>
        </w:rPr>
        <w:t xml:space="preserve">Aquellos alumnos que no hayan alcanzado la nota de 5 en la convocatoria ordinaria realizarán un examen global de recuperación en la convocatoria extraordinaria de todo el curso basado en los saberes y criterios de evaluación  de la asignatura. </w:t>
      </w:r>
    </w:p>
    <w:p>
      <w:pPr>
        <w:pStyle w:val="Normal"/>
        <w:jc w:val="both"/>
        <w:rPr/>
      </w:pPr>
      <w:r>
        <w:rPr>
          <w:rFonts w:eastAsia="Cambria" w:cs="Cambria"/>
          <w:color w:val="auto"/>
          <w:sz w:val="22"/>
          <w:szCs w:val="22"/>
        </w:rPr>
        <w:t>Esta prueba extraordinaria se considerará superada cuando se haya obtenido una calificación igual o superior a cinco. La nota final de la materia sera la nota de esta prueba</w:t>
      </w:r>
      <w:bookmarkEnd w:id="25"/>
    </w:p>
    <w:p>
      <w:pPr>
        <w:pStyle w:val="Normal"/>
        <w:jc w:val="both"/>
        <w:rPr/>
      </w:pPr>
      <w:r>
        <w:rPr>
          <w:rFonts w:eastAsia="Cambria" w:cs="Cambria"/>
          <w:b/>
          <w:sz w:val="22"/>
          <w:szCs w:val="22"/>
          <w:u w:val="single"/>
        </w:rPr>
        <w:t>5. EVALUACIÓN INICIAL</w:t>
      </w:r>
    </w:p>
    <w:p>
      <w:pPr>
        <w:pStyle w:val="Estiloparrafos"/>
        <w:spacing w:before="0" w:after="120"/>
        <w:rPr/>
      </w:pPr>
      <w:r>
        <w:rPr>
          <w:rFonts w:ascii="Calibri" w:hAnsi="Calibri"/>
          <w:color w:val="232020"/>
          <w:sz w:val="22"/>
          <w:szCs w:val="22"/>
        </w:rPr>
        <w:t xml:space="preserve">Al comienzo de cada curso, en el marco de la evaluación continua y formativa, y para detectar el grado de conocimiento del que parten los estudiantes en cada materia y realizar la correspondiente planificación, se realizará la evaluación inicial de los alumnos. Para ello se tendrá en cuenta, siempre que sea posible, la información aportada por el profesorado del curso anterior. Además, todos los alumnos realizarán una prueba escrita, diseñada para ser cumplimentada en una sesión lectiva, que incluya los contenidos más importantes del curso anterior que van a tener continuidad en el presente curso. </w:t>
      </w:r>
    </w:p>
    <w:p>
      <w:pPr>
        <w:pStyle w:val="Estiloparrafos"/>
        <w:spacing w:before="0" w:after="120"/>
        <w:rPr/>
      </w:pPr>
      <w:r>
        <w:rPr>
          <w:rFonts w:eastAsia="Cambria" w:cs="Cambria" w:ascii="Calibri" w:hAnsi="Calibri"/>
          <w:color w:val="232020"/>
          <w:sz w:val="22"/>
          <w:szCs w:val="22"/>
        </w:rPr>
        <w:t xml:space="preserve">Esta prueba nunca se computará a efectos de calificación durante el curso.  El objetivo de la misma consiste en detectar posibles concepciones alternativas o la carencia de conocimientos básicos cuya ampliación y/o desarrollo se va a llevar a cabo en el presente curso escolar. En el caso de que se detecten dichos errores y / o carencias se repasarán dichos contenidos al inicio de cada unidad didáctica antes de profundizar en los mismos. </w:t>
      </w:r>
    </w:p>
    <w:p>
      <w:pPr>
        <w:pStyle w:val="Normal"/>
        <w:spacing w:before="0" w:after="120"/>
        <w:jc w:val="both"/>
        <w:rPr/>
      </w:pPr>
      <w:r>
        <w:rPr>
          <w:rFonts w:eastAsia="Cambria" w:cs="Cambria"/>
          <w:b/>
          <w:color w:val="232020"/>
          <w:sz w:val="22"/>
          <w:szCs w:val="22"/>
          <w:u w:val="single"/>
        </w:rPr>
        <w:t>6. EVALUACIÓN EXTRAORDINARIA</w:t>
      </w:r>
    </w:p>
    <w:p>
      <w:pPr>
        <w:pStyle w:val="Normal"/>
        <w:jc w:val="both"/>
        <w:rPr/>
      </w:pPr>
      <w:r>
        <w:rPr>
          <w:rFonts w:eastAsia="Cambria" w:cs="Cambria"/>
          <w:sz w:val="22"/>
          <w:szCs w:val="22"/>
        </w:rPr>
        <w:t xml:space="preserve">Aquellos alumnos que no hayan alcanzado la nota de 5 en la convocatoria ordinaria realizarán un examen global de recuperación en la convocatoria extraordinaria de todo el curso basado en los saberes y criterios de evaluación  de la asignatura. </w:t>
      </w:r>
    </w:p>
    <w:p>
      <w:pPr>
        <w:pStyle w:val="Normal"/>
        <w:spacing w:before="0" w:after="120"/>
        <w:jc w:val="both"/>
        <w:rPr/>
      </w:pPr>
      <w:r>
        <w:rPr>
          <w:rFonts w:eastAsia="Cambria" w:cs="Cambria"/>
          <w:b w:val="false"/>
          <w:bCs w:val="false"/>
          <w:color w:val="auto"/>
          <w:sz w:val="22"/>
          <w:szCs w:val="22"/>
          <w:u w:val="none"/>
        </w:rPr>
        <w:t>Esta prueba extraordinaria se considerará superada cuando se haya obtenido una calificación igual o superior a cinco. La nota final de la materia sera la nota de esta prueba</w:t>
      </w:r>
    </w:p>
    <w:p>
      <w:pPr>
        <w:pStyle w:val="Normal"/>
        <w:jc w:val="both"/>
        <w:rPr/>
      </w:pPr>
      <w:r>
        <w:rPr>
          <w:rFonts w:eastAsia="Cambria" w:cs="Cambria"/>
          <w:b/>
          <w:sz w:val="22"/>
          <w:szCs w:val="22"/>
          <w:u w:val="single"/>
        </w:rPr>
        <w:t>7. ACTUACIONES GENERALES DE ATENCIÓN A LAS DIFERENCIAS INDIVIDUALES</w:t>
      </w:r>
    </w:p>
    <w:p>
      <w:pPr>
        <w:pStyle w:val="Normal"/>
        <w:jc w:val="both"/>
        <w:rPr/>
      </w:pPr>
      <w:r>
        <w:rPr>
          <w:rFonts w:eastAsia="Cambria" w:cs="Cambria"/>
          <w:sz w:val="22"/>
          <w:szCs w:val="22"/>
        </w:rPr>
        <w:t xml:space="preserve">No tenemos ningún alumnos que precise adaptación curricular </w:t>
      </w:r>
    </w:p>
    <w:p>
      <w:pPr>
        <w:pStyle w:val="Normal"/>
        <w:jc w:val="both"/>
        <w:rPr/>
      </w:pPr>
      <w:r>
        <w:rPr>
          <w:rFonts w:eastAsia="Cambria" w:cs="Cambria"/>
          <w:b/>
          <w:sz w:val="22"/>
          <w:szCs w:val="22"/>
          <w:u w:val="single"/>
        </w:rPr>
        <w:t xml:space="preserve">8. PLAN DE RECUPERACIÓN DE MATERIAS PENDIENTES </w:t>
      </w:r>
    </w:p>
    <w:p>
      <w:pPr>
        <w:pStyle w:val="Normal"/>
        <w:jc w:val="both"/>
        <w:rPr/>
      </w:pPr>
      <w:r>
        <w:rPr>
          <w:rFonts w:eastAsia="Cambria" w:cs="Cambria"/>
          <w:sz w:val="22"/>
          <w:szCs w:val="22"/>
        </w:rPr>
        <w:t xml:space="preserve">.En los primeros días o últimos del curso anterior  se hace una reunión para evaluar las causas de la no superación de la materia por parte del alumno con los profesores del curso anterior. </w:t>
      </w:r>
    </w:p>
    <w:p>
      <w:pPr>
        <w:pStyle w:val="Normal"/>
        <w:jc w:val="both"/>
        <w:rPr/>
      </w:pPr>
      <w:r>
        <w:rPr>
          <w:rFonts w:eastAsia="Cambria" w:cs="Cambria"/>
          <w:sz w:val="22"/>
          <w:szCs w:val="22"/>
        </w:rPr>
        <w:t xml:space="preserve">Con los alumnos se tiene una reunión a principio de curso, para comunicarles: </w:t>
      </w:r>
    </w:p>
    <w:p>
      <w:pPr>
        <w:pStyle w:val="Normal"/>
        <w:numPr>
          <w:ilvl w:val="0"/>
          <w:numId w:val="3"/>
        </w:numPr>
        <w:jc w:val="both"/>
        <w:rPr/>
      </w:pPr>
      <w:r>
        <w:rPr>
          <w:rFonts w:eastAsia="Cambria" w:cs="Cambria"/>
          <w:sz w:val="22"/>
          <w:szCs w:val="22"/>
        </w:rPr>
        <w:t xml:space="preserve">Las pautas para estudiar la materia </w:t>
      </w:r>
    </w:p>
    <w:p>
      <w:pPr>
        <w:pStyle w:val="Normal"/>
        <w:numPr>
          <w:ilvl w:val="0"/>
          <w:numId w:val="3"/>
        </w:numPr>
        <w:jc w:val="both"/>
        <w:rPr/>
      </w:pPr>
      <w:r>
        <w:rPr>
          <w:rFonts w:eastAsia="Cambria" w:cs="Cambria"/>
          <w:sz w:val="22"/>
          <w:szCs w:val="22"/>
        </w:rPr>
        <w:t>Horario del profesor para poder atenderles</w:t>
      </w:r>
    </w:p>
    <w:p>
      <w:pPr>
        <w:pStyle w:val="Normal"/>
        <w:numPr>
          <w:ilvl w:val="0"/>
          <w:numId w:val="3"/>
        </w:numPr>
        <w:jc w:val="both"/>
        <w:rPr/>
      </w:pPr>
      <w:r>
        <w:rPr>
          <w:rFonts w:eastAsia="Cambria" w:cs="Cambria"/>
          <w:sz w:val="22"/>
          <w:szCs w:val="22"/>
        </w:rPr>
        <w:t>División de la materia de primero en dos, Química por un lado y Física por otro.</w:t>
      </w:r>
    </w:p>
    <w:p>
      <w:pPr>
        <w:pStyle w:val="Normal"/>
        <w:jc w:val="both"/>
        <w:rPr/>
      </w:pPr>
      <w:r>
        <w:rPr>
          <w:rFonts w:eastAsia="Cambria" w:cs="Cambria"/>
          <w:sz w:val="22"/>
          <w:szCs w:val="22"/>
        </w:rPr>
        <w:t xml:space="preserve">Realización de dos exámenes, uno de Diciembre y otro a principios de marzo. Si estos exámenes no dan la media para superar la materia ( tendrán que tener mas de un 3,5 para poder mediar)   tendrán uno global en Abril, que se superara con una nota de 5 o más. </w:t>
      </w:r>
    </w:p>
    <w:p>
      <w:pPr>
        <w:pStyle w:val="Normal"/>
        <w:jc w:val="both"/>
        <w:rPr/>
      </w:pPr>
      <w:r>
        <w:rPr>
          <w:rFonts w:eastAsia="Cambria" w:cs="Cambria"/>
          <w:b/>
          <w:sz w:val="22"/>
          <w:szCs w:val="22"/>
          <w:u w:val="single"/>
        </w:rPr>
        <w:t>9. ESTRATEGIAS DIDÁCTICAS Y METODOLÓGICAS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Las normas y la convivencia en el aula.</w:t>
      </w:r>
    </w:p>
    <w:p>
      <w:pPr>
        <w:pStyle w:val="Normal"/>
        <w:jc w:val="both"/>
        <w:rPr/>
      </w:pPr>
      <w:r>
        <w:rPr>
          <w:rFonts w:cs="Arial"/>
          <w:sz w:val="22"/>
          <w:szCs w:val="22"/>
        </w:rPr>
        <w:t>Para que el trabajo en el aula favorezca el aprendizaje indispensable un ambiente que lo propicie y facilite, se consensuarán en los primeros días unas normas de convivencia. La no imposición y el consenso tienen como objetivo que cada alumno haga suyas esas normas y se sienta partícipe de la vida de la clase y co-responsable del buen funcionamiento de la misma. Se velará durante todo el curso por el mantenimiento de un clima de armonía, respeto, cooperación y convivencia entre todos los miembros del grupo. Un lugar donde los alumnos se encuentren libres y puedan expresarse es un vehículo imprescindible para un buen aprendizaje.</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El aula como comunidad de aprendizaje.</w:t>
      </w:r>
    </w:p>
    <w:p>
      <w:pPr>
        <w:pStyle w:val="Normal"/>
        <w:jc w:val="both"/>
        <w:rPr/>
      </w:pPr>
      <w:r>
        <w:rPr>
          <w:rFonts w:cs="Arial"/>
          <w:sz w:val="22"/>
          <w:szCs w:val="22"/>
        </w:rPr>
        <w:t xml:space="preserve">El grupo se enriquece con las aportaciones individuales de cada uno de sus miembros, por lo que todos ellos tendrán cabida en el aula, favoreciendo la interiorización de los aprendizajes mediante su conexión con la experiencia vital cotidiana. Se propiciarán entre los alumnos actitudes como la ayuda, el apoyo, la escucha o la inclusión. Todos aprendemos de todos. </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Protagonismo del alumno en la actividad.</w:t>
      </w:r>
    </w:p>
    <w:p>
      <w:pPr>
        <w:pStyle w:val="Normal"/>
        <w:jc w:val="both"/>
        <w:rPr/>
      </w:pPr>
      <w:r>
        <w:rPr>
          <w:rFonts w:cs="Arial"/>
          <w:sz w:val="22"/>
          <w:szCs w:val="22"/>
        </w:rPr>
        <w:t>Se favorecerá la integración activa de cada alumno, su motivación y autoestima, haciendo de la clase un lugar de encuentro en el que se sienta cómodo, relajado e importante, en el que pueda manifestar sus sugerencias e inquietudes en un marco de respeto, colaboración y cordialidad, y en el que se sienta con ganas de aprender. Se consideran fundamentales tanto su trabajo de estudio diario e individual fuera del aula, como su participación en el desarrollo de las sesiones.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Reconocimiento y potenciación de las habilidades del alumno.</w:t>
      </w:r>
    </w:p>
    <w:p>
      <w:pPr>
        <w:pStyle w:val="Normal"/>
        <w:jc w:val="both"/>
        <w:rPr/>
      </w:pPr>
      <w:r>
        <w:rPr>
          <w:rFonts w:cs="Arial"/>
          <w:sz w:val="22"/>
          <w:szCs w:val="22"/>
        </w:rPr>
        <w:t>Se hará más énfasis en las capacidades y fortalezas de los alumnos que en sus dificultades, definiendo así las metas en positivo, generando recursos para alcanzarlas, y ganando en seguridad y motivación de logro de las expectativas. Los obstáculos y los conflictos se plantean como oportunidades de crecimiento.</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Partir de los conocimientos previos de los alumnos.</w:t>
      </w:r>
    </w:p>
    <w:p>
      <w:pPr>
        <w:pStyle w:val="Normal"/>
        <w:jc w:val="both"/>
        <w:rPr/>
      </w:pPr>
      <w:r>
        <w:rPr>
          <w:rFonts w:cs="Arial"/>
          <w:sz w:val="22"/>
          <w:szCs w:val="22"/>
        </w:rPr>
        <w:t>Al comienzo de cada unidad de trabajo se realizarán cuestiones orales y pruebas de “puesta a punto”, que estarán encaminadas, por un lado, a detectar los conocimientos previos que el alumno posee y, por otro, a activar esos conocimientos. Estas actividades permitirán además adaptar el trabajo sobre las unidades didácticas.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Contextualización de los aprendizajes.</w:t>
      </w:r>
    </w:p>
    <w:p>
      <w:pPr>
        <w:pStyle w:val="Normal"/>
        <w:jc w:val="both"/>
        <w:rPr/>
      </w:pPr>
      <w:r>
        <w:rPr>
          <w:rFonts w:cs="Arial"/>
          <w:sz w:val="22"/>
          <w:szCs w:val="22"/>
        </w:rPr>
        <w:t>Al enmarcarse la actividad dentro de un contexto, el alumno entenderá que su realización es necesaria como vía para encontrar respuestas a preguntas o problemas previamente planteados. Se facilitará la capacidad de transferir los aprendizajes a situaciones cercanas a la realidad y, por lo tanto, complejas. Se busca de esta manera una progresiva adquisición de competencias para la vida.</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Interdisciplinariedad.</w:t>
      </w:r>
    </w:p>
    <w:p>
      <w:pPr>
        <w:pStyle w:val="Normal"/>
        <w:jc w:val="both"/>
        <w:rPr/>
      </w:pPr>
      <w:r>
        <w:rPr>
          <w:rFonts w:cs="Arial"/>
          <w:spacing w:val="-3"/>
          <w:sz w:val="22"/>
          <w:szCs w:val="22"/>
        </w:rPr>
        <w:t>Es necesario mostrar los contenidos relacionados, tanto entre los diversos bloques componentes de cada una de las materias, como entre ellas. Es necesario aprender a intervenir en situaciones de la realidad complejas, donde se da una interrelación de diversos fenómenos de forma simultánea y nunca parcelada.</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Ritmos de aprendizaje.</w:t>
      </w:r>
    </w:p>
    <w:p>
      <w:pPr>
        <w:pStyle w:val="Normal"/>
        <w:jc w:val="both"/>
        <w:rPr/>
      </w:pPr>
      <w:r>
        <w:rPr>
          <w:rFonts w:cs="Arial"/>
          <w:sz w:val="22"/>
          <w:szCs w:val="22"/>
        </w:rPr>
        <w:t xml:space="preserve">El proceso educativo es en sí mismo un proceso lento, que hay que mimar y cuidar. No existen las mejoras inmediatas. Son necesarias acciones continuadas y sostenidas en el tiempo. La </w:t>
      </w:r>
      <w:r>
        <w:rPr>
          <w:rFonts w:cs="Arial"/>
          <w:b/>
          <w:sz w:val="22"/>
          <w:szCs w:val="22"/>
        </w:rPr>
        <w:t>atención a la diversidad</w:t>
      </w:r>
      <w:r>
        <w:rPr>
          <w:rFonts w:cs="Arial"/>
          <w:sz w:val="22"/>
          <w:szCs w:val="22"/>
        </w:rPr>
        <w:t xml:space="preserve">, a la que dedico otro apartado, se asienta sobre estos principios. Pero el ritmo de la clase nunca deben marcarlos los alumnos que no trabajan, pues estos no adquieren competencias, ni alcanzan contenidos y no logran los objetivos principalmente por su falta de trabajo. Intentaremos motivarles y reengancharlos. Debido a esto el ritmo de la clase la marcaran los alumnos que trabajen en el día a día.  </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Secuenciación progresiva y cíclica de los contenidos.</w:t>
      </w:r>
    </w:p>
    <w:p>
      <w:pPr>
        <w:pStyle w:val="Normal"/>
        <w:jc w:val="both"/>
        <w:rPr/>
      </w:pPr>
      <w:r>
        <w:rPr>
          <w:rFonts w:cs="Arial"/>
          <w:sz w:val="22"/>
          <w:szCs w:val="22"/>
        </w:rPr>
        <w:t>En relación al epígrafe anterior, las actividades irán organizadas y secuenciadas en función de los objetivos propuestos, del tema tratado, y de las dificultades y progresos observados en el alumnado. Se retomarán periódicamente ciertos contenidos considerados clave para facilitar su adquisición por parte de todos.</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El papel del profesor.</w:t>
      </w:r>
    </w:p>
    <w:p>
      <w:pPr>
        <w:pStyle w:val="Normal"/>
        <w:jc w:val="both"/>
        <w:rPr/>
      </w:pPr>
      <w:r>
        <w:rPr>
          <w:rFonts w:cs="Arial"/>
          <w:sz w:val="22"/>
          <w:szCs w:val="22"/>
        </w:rPr>
        <w:t>Es organizador y animador de las diversas situaciones de aprendizaje, facilitando la adquisición significativa de conocimientos y competencias, y ayudando a crear una atmósfera adecuada de trabajo. Busca la implicación de los alumnos y los guía individualmente y como grupo en su proceso educativo. Genera confianza, potencia el diálogo y la manifestación libre y respetuosa de opiniones, favorece la integración y participación de todos los alumnos, atiende los diversos ritmos y estilos de aprendizaje, estimula, asesora y orienta. Propicia y mantiene el orden, y asegura el cumplimiento de las normas de convivencia del centro y del aula.</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El papel de las familias.</w:t>
      </w:r>
    </w:p>
    <w:p>
      <w:pPr>
        <w:pStyle w:val="Normal"/>
        <w:jc w:val="both"/>
        <w:rPr/>
      </w:pPr>
      <w:r>
        <w:rPr>
          <w:rFonts w:cs="Arial"/>
          <w:sz w:val="22"/>
          <w:szCs w:val="22"/>
        </w:rPr>
        <w:t>Familia y escuela, aunque de forma preeminente la primera, son los agentes protagonistas de la educación de los alumnos, de ahí la necesidad de trabajar conjuntamente y en la misma dirección. Se mantendrá por ello una comunicación fluida con las familias y se intentara la participación de los padres en los grupos interactivos mediante un banco de voluntarios organizado por el AMPA</w:t>
      </w:r>
      <w:r>
        <w:rPr>
          <w:rStyle w:val="Ancladenotaalpie"/>
          <w:rFonts w:cs="Arial"/>
          <w:sz w:val="22"/>
          <w:szCs w:val="22"/>
        </w:rPr>
        <w:footnoteReference w:id="4"/>
      </w:r>
      <w:r>
        <w:rPr>
          <w:rFonts w:cs="Arial"/>
          <w:sz w:val="22"/>
          <w:szCs w:val="22"/>
        </w:rPr>
        <w:t xml:space="preserve">. </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Las nuevas tecnologías.</w:t>
      </w:r>
    </w:p>
    <w:p>
      <w:pPr>
        <w:pStyle w:val="Normal"/>
        <w:jc w:val="both"/>
        <w:rPr/>
      </w:pPr>
      <w:r>
        <w:rPr>
          <w:rFonts w:cs="Arial"/>
          <w:sz w:val="22"/>
          <w:szCs w:val="22"/>
        </w:rPr>
        <w:t xml:space="preserve">Es un medio motivador pues estamos ante una generación eminentemente visual y tecnóloga. La utilización de pequeños videos y/o applets, presentaciones, redes sociales, whasapp, plataforma educativa classroom, etc, nos ayudara a hacer el proceso de aprendizaje más ameno y motivador. </w:t>
      </w:r>
    </w:p>
    <w:p>
      <w:pPr>
        <w:pStyle w:val="Ttulo2"/>
        <w:keepNext w:val="false"/>
        <w:keepLines w:val="false"/>
        <w:numPr>
          <w:ilvl w:val="0"/>
          <w:numId w:val="0"/>
        </w:numPr>
        <w:spacing w:lineRule="auto" w:line="360" w:before="0" w:after="0"/>
        <w:ind w:left="432" w:hanging="432"/>
        <w:contextualSpacing/>
        <w:mirrorIndents/>
        <w:jc w:val="both"/>
        <w:rPr/>
      </w:pPr>
      <w:bookmarkStart w:id="26" w:name="_Toc765132002"/>
      <w:r>
        <w:rPr>
          <w:sz w:val="22"/>
          <w:szCs w:val="22"/>
        </w:rPr>
        <w:t>Diversidad de las formas de clase.</w:t>
      </w:r>
      <w:bookmarkEnd w:id="26"/>
    </w:p>
    <w:p>
      <w:pPr>
        <w:pStyle w:val="Normal"/>
        <w:jc w:val="both"/>
        <w:rPr/>
      </w:pPr>
      <w:r>
        <w:rPr>
          <w:rFonts w:cs="Arial"/>
          <w:sz w:val="22"/>
          <w:szCs w:val="22"/>
        </w:rPr>
        <w:t>Las actividades programadas, serán variadas.</w:t>
      </w:r>
    </w:p>
    <w:p>
      <w:pPr>
        <w:pStyle w:val="Ttulo3"/>
        <w:keepNext w:val="false"/>
        <w:keepLines w:val="false"/>
        <w:numPr>
          <w:ilvl w:val="0"/>
          <w:numId w:val="0"/>
        </w:numPr>
        <w:spacing w:lineRule="auto" w:line="360" w:before="0" w:after="0"/>
        <w:ind w:left="0" w:hanging="0"/>
        <w:contextualSpacing/>
        <w:mirrorIndents/>
        <w:jc w:val="both"/>
        <w:rPr/>
      </w:pPr>
      <w:r>
        <w:rPr>
          <w:sz w:val="22"/>
          <w:szCs w:val="22"/>
        </w:rPr>
        <w:t>Clase magistra</w:t>
      </w:r>
      <w:r>
        <w:rPr>
          <w:b w:val="false"/>
          <w:sz w:val="22"/>
          <w:szCs w:val="22"/>
        </w:rPr>
        <w:t>l</w:t>
      </w:r>
      <w:r>
        <w:rPr>
          <w:sz w:val="22"/>
          <w:szCs w:val="22"/>
        </w:rPr>
        <w:t xml:space="preserve">, </w:t>
      </w:r>
    </w:p>
    <w:p>
      <w:pPr>
        <w:pStyle w:val="Normal"/>
        <w:jc w:val="both"/>
        <w:rPr/>
      </w:pPr>
      <w:r>
        <w:rPr>
          <w:rFonts w:cs="Arial"/>
          <w:sz w:val="22"/>
          <w:szCs w:val="22"/>
        </w:rPr>
        <w:t xml:space="preserve">Teniendo en cuanta que esta comunicación debe ser lo más interactiva posible, y que siempre que se puede se seguirá la secuenciación, Motivar-Repasar-Desarrollar-Asentar las posibilidades de desarrollo de la materia son: </w:t>
      </w:r>
    </w:p>
    <w:p>
      <w:pPr>
        <w:pStyle w:val="ListParagraph"/>
        <w:numPr>
          <w:ilvl w:val="0"/>
          <w:numId w:val="4"/>
        </w:numPr>
        <w:ind w:left="284" w:hanging="284"/>
        <w:jc w:val="both"/>
        <w:rPr/>
      </w:pPr>
      <w:r>
        <w:rPr>
          <w:rFonts w:cs="Arial"/>
          <w:sz w:val="22"/>
          <w:szCs w:val="22"/>
        </w:rPr>
        <w:t>Introducción con algún soporte visual.</w:t>
      </w:r>
    </w:p>
    <w:p>
      <w:pPr>
        <w:pStyle w:val="ListParagraph"/>
        <w:numPr>
          <w:ilvl w:val="0"/>
          <w:numId w:val="4"/>
        </w:numPr>
        <w:ind w:left="284" w:hanging="284"/>
        <w:jc w:val="both"/>
        <w:rPr/>
      </w:pPr>
      <w:r>
        <w:rPr>
          <w:rFonts w:cs="Arial"/>
          <w:sz w:val="22"/>
          <w:szCs w:val="22"/>
        </w:rPr>
        <w:t>Utilización de prácticas magistrales reales o en video.</w:t>
      </w:r>
    </w:p>
    <w:p>
      <w:pPr>
        <w:pStyle w:val="ListParagraph"/>
        <w:numPr>
          <w:ilvl w:val="0"/>
          <w:numId w:val="4"/>
        </w:numPr>
        <w:ind w:left="284" w:hanging="284"/>
        <w:jc w:val="both"/>
        <w:rPr/>
      </w:pPr>
      <w:r>
        <w:rPr>
          <w:rFonts w:cs="Arial"/>
          <w:sz w:val="22"/>
          <w:szCs w:val="22"/>
        </w:rPr>
        <w:t xml:space="preserve">Proponer la resolución de ejercicios. </w:t>
      </w:r>
    </w:p>
    <w:p>
      <w:pPr>
        <w:pStyle w:val="ListParagraph"/>
        <w:numPr>
          <w:ilvl w:val="0"/>
          <w:numId w:val="4"/>
        </w:numPr>
        <w:ind w:left="284" w:hanging="284"/>
        <w:jc w:val="both"/>
        <w:rPr/>
      </w:pPr>
      <w:r>
        <w:rPr>
          <w:rFonts w:cs="Arial"/>
          <w:sz w:val="22"/>
          <w:szCs w:val="22"/>
        </w:rPr>
        <w:t xml:space="preserve">Resolución de problemas. Algún problema se soluciona con errores. Con esto queremos dos cosas, que estén atentos en clase y no se limiten solo a copiar y sobre todo, que vean que de los errores se aprende. </w:t>
      </w:r>
    </w:p>
    <w:p>
      <w:pPr>
        <w:pStyle w:val="ListParagraph"/>
        <w:numPr>
          <w:ilvl w:val="0"/>
          <w:numId w:val="4"/>
        </w:numPr>
        <w:ind w:left="284" w:hanging="284"/>
        <w:jc w:val="both"/>
        <w:rPr/>
      </w:pPr>
      <w:r>
        <w:rPr>
          <w:rFonts w:cs="Arial"/>
          <w:sz w:val="22"/>
          <w:szCs w:val="22"/>
        </w:rPr>
        <w:t xml:space="preserve">Explicación en la pizarra. </w:t>
      </w:r>
    </w:p>
    <w:p>
      <w:pPr>
        <w:pStyle w:val="ListParagraph"/>
        <w:numPr>
          <w:ilvl w:val="0"/>
          <w:numId w:val="4"/>
        </w:numPr>
        <w:ind w:left="284" w:hanging="284"/>
        <w:jc w:val="both"/>
        <w:rPr/>
      </w:pPr>
      <w:r>
        <w:rPr>
          <w:rFonts w:cs="Arial"/>
          <w:sz w:val="22"/>
          <w:szCs w:val="22"/>
        </w:rPr>
        <w:t>Descubrimiento de alguna parte teórica por los alumnos con la guía del profesor, utilizando conocimientos y capacidades que poseen.</w:t>
      </w:r>
    </w:p>
    <w:p>
      <w:pPr>
        <w:pStyle w:val="ListParagraph"/>
        <w:numPr>
          <w:ilvl w:val="0"/>
          <w:numId w:val="4"/>
        </w:numPr>
        <w:ind w:left="284" w:hanging="284"/>
        <w:jc w:val="both"/>
        <w:rPr/>
      </w:pPr>
      <w:r>
        <w:rPr>
          <w:rFonts w:cs="Arial"/>
          <w:sz w:val="22"/>
          <w:szCs w:val="22"/>
        </w:rPr>
        <w:t>Multitud de preguntas para ver su nivel de comprensión y de seguimiento.</w:t>
      </w:r>
    </w:p>
    <w:p>
      <w:pPr>
        <w:pStyle w:val="ListParagraph"/>
        <w:numPr>
          <w:ilvl w:val="0"/>
          <w:numId w:val="4"/>
        </w:numPr>
        <w:ind w:left="284" w:hanging="284"/>
        <w:jc w:val="both"/>
        <w:rPr/>
      </w:pPr>
      <w:r>
        <w:rPr>
          <w:rFonts w:cs="Arial"/>
          <w:sz w:val="22"/>
          <w:szCs w:val="22"/>
        </w:rPr>
        <w:t>Seguimiento de una presentación con ejercicios y ejemplos integrados.</w:t>
      </w:r>
    </w:p>
    <w:p>
      <w:pPr>
        <w:pStyle w:val="ListParagraph"/>
        <w:numPr>
          <w:ilvl w:val="0"/>
          <w:numId w:val="4"/>
        </w:numPr>
        <w:ind w:left="284" w:hanging="284"/>
        <w:jc w:val="both"/>
        <w:rPr/>
      </w:pPr>
      <w:r>
        <w:rPr>
          <w:rFonts w:cs="Arial"/>
          <w:sz w:val="22"/>
          <w:szCs w:val="22"/>
        </w:rPr>
        <w:t xml:space="preserve">Cuestiones o problemas resueltos por los alumnos en clase, con la posibilidad de preguntar todas sus dudas de forma individual.  </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 xml:space="preserve">Clase Invertida. </w:t>
      </w:r>
    </w:p>
    <w:p>
      <w:pPr>
        <w:pStyle w:val="ListParagraph"/>
        <w:ind w:left="0" w:hanging="0"/>
        <w:jc w:val="both"/>
        <w:rPr/>
      </w:pPr>
      <w:r>
        <w:rPr>
          <w:rFonts w:cs="Arial"/>
          <w:sz w:val="22"/>
          <w:szCs w:val="22"/>
        </w:rPr>
        <w:t xml:space="preserve">En alguna parte de las unidades didácticas se les manda un texto o textos a leer, simulaciones, videos para trabajar en casa y al día siguiente en clase se empieza resolviendo problemas o cuestiones sobre lo trabajado en casa </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 xml:space="preserve">Grupos interactivos. </w:t>
      </w:r>
    </w:p>
    <w:p>
      <w:pPr>
        <w:pStyle w:val="ListParagraph"/>
        <w:ind w:left="0" w:hanging="0"/>
        <w:jc w:val="both"/>
        <w:rPr/>
      </w:pPr>
      <w:r>
        <w:rPr>
          <w:rFonts w:cs="Arial"/>
          <w:sz w:val="22"/>
          <w:szCs w:val="22"/>
        </w:rPr>
        <w:t>Se realizan grupos heterogéneos con un adulto para facilitar el aprendizaje pues un uso correcto de la comunicación facilita la comprensión. Estos grupos está demostrado que son buenos para los alumnos, pues al verse forzados a explicar, interiorizan mejor lo aprendido y los alumnos que van peor al tener una comunicación de los contenidos en un nivel más próximo ven favorecida la comprensión de los contenidos.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 xml:space="preserve">Laboratorio, </w:t>
      </w:r>
    </w:p>
    <w:p>
      <w:pPr>
        <w:pStyle w:val="ListParagraph"/>
        <w:ind w:left="0" w:hanging="0"/>
        <w:jc w:val="both"/>
        <w:rPr/>
      </w:pPr>
      <w:r>
        <w:rPr>
          <w:rFonts w:cs="Arial"/>
          <w:sz w:val="22"/>
          <w:szCs w:val="22"/>
        </w:rPr>
        <w:t xml:space="preserve">Uso de experiencias diseñadas para entender mejor lo aprendido, ver la parte experimental de la Química, trabajar en pareja y elaborar el guion de prácticas. Esto les sirve para aprender y como agente motivador. La Química es una ciencia experimental y la adquisición de conocimientos debe estar ligada a la práctica en un laboratorio. Se utiliza el laboratorio para afianzar contenidos, si llevamos pequeñas practicas a clase la utilidad es aclarar ideas o plantear problemas iniciales. La elaboración de los guiones de prácticas les ayuda a expresarse de forma científica adecuada. Se entregara un documento con las pautas para realizar de forma correcta un buen guion de prácticas y las normas del laboratorio. </w:t>
      </w:r>
    </w:p>
    <w:p>
      <w:pPr>
        <w:pStyle w:val="Normal"/>
        <w:jc w:val="both"/>
        <w:rPr/>
      </w:pPr>
      <w:r>
        <w:rPr>
          <w:rFonts w:cs="Arial"/>
          <w:sz w:val="22"/>
          <w:szCs w:val="22"/>
        </w:rPr>
        <w:t>No obstante, se potenciarán principalmente las actividades que se encaminen a un desarrollo autónomo del alumno. Se utilizarán, asimismo, diversos recursos (libros de texto, fotocopias, medios de comunicación, Internet, presentaciones,…)</w:t>
      </w:r>
    </w:p>
    <w:p>
      <w:pPr>
        <w:pStyle w:val="Normal"/>
        <w:jc w:val="both"/>
        <w:rPr/>
      </w:pPr>
      <w:r>
        <w:rPr>
          <w:rFonts w:eastAsia="Cambria" w:cs="Cambria"/>
          <w:b/>
          <w:sz w:val="22"/>
          <w:szCs w:val="22"/>
          <w:u w:val="single"/>
        </w:rPr>
        <w:t xml:space="preserve"> </w:t>
      </w:r>
      <w:r>
        <w:rPr>
          <w:rFonts w:eastAsia="Cambria" w:cs="Cambria"/>
          <w:b/>
          <w:sz w:val="22"/>
          <w:szCs w:val="22"/>
          <w:u w:val="single"/>
        </w:rPr>
        <w:t>10. CONCRECIÓN DEL PLAN DE IMPLEMENTACIÓN DE ELEMENTOS TRANSVERSALES</w:t>
      </w:r>
    </w:p>
    <w:p>
      <w:pPr>
        <w:pStyle w:val="LOnormal"/>
        <w:jc w:val="both"/>
        <w:rPr/>
      </w:pPr>
      <w:r>
        <w:rPr>
          <w:rFonts w:eastAsia="Cambria" w:cs="Cambria"/>
          <w:color w:val="000000"/>
          <w:sz w:val="22"/>
          <w:szCs w:val="22"/>
        </w:rPr>
        <w:t>De acuerdo con la orden ECD/1172/2022, los elementos transversales que deberán trabajarse serán:</w:t>
      </w:r>
    </w:p>
    <w:p>
      <w:pPr>
        <w:pStyle w:val="LOnormal"/>
        <w:jc w:val="both"/>
        <w:rPr/>
      </w:pPr>
      <w:r>
        <w:rPr>
          <w:rFonts w:eastAsia="Cambria" w:cs="Cambria"/>
          <w:color w:val="000000"/>
          <w:sz w:val="22"/>
          <w:szCs w:val="22"/>
        </w:rPr>
        <w:t>La comprensión lectora y expresión oral y escrita se especificará en el punto 10, concreción del plan lector.</w:t>
      </w:r>
    </w:p>
    <w:p>
      <w:pPr>
        <w:pStyle w:val="LOnormal"/>
        <w:jc w:val="both"/>
        <w:rPr/>
      </w:pPr>
      <w:r>
        <w:rPr>
          <w:rFonts w:eastAsia="Cambria" w:cs="Cambria"/>
          <w:color w:val="000000"/>
          <w:sz w:val="22"/>
          <w:szCs w:val="22"/>
        </w:rPr>
        <w:t>La comunicación audiovisual y la competencia digital se especificará en el punto 12, la concreción del plan de utilización de las tecnologías digitales.</w:t>
      </w:r>
    </w:p>
    <w:p>
      <w:pPr>
        <w:pStyle w:val="LOnormal"/>
        <w:jc w:val="both"/>
        <w:rPr/>
      </w:pPr>
      <w:r>
        <w:rPr>
          <w:rFonts w:eastAsia="Cambria" w:cs="Cambria"/>
          <w:color w:val="000000"/>
          <w:sz w:val="22"/>
          <w:szCs w:val="22"/>
        </w:rPr>
        <w:t>El emprendimiento social y empresarial se desarrollará mediante actividades que potencien el aprendizaje significativo del alumnado y haciendo que el alumnado sea el centro del aprendizaje.</w:t>
      </w:r>
    </w:p>
    <w:p>
      <w:pPr>
        <w:pStyle w:val="LOnormal"/>
        <w:jc w:val="both"/>
        <w:rPr/>
      </w:pPr>
      <w:r>
        <w:rPr>
          <w:rFonts w:eastAsia="Cambria" w:cs="Cambria"/>
          <w:color w:val="000000"/>
          <w:sz w:val="22"/>
          <w:szCs w:val="22"/>
        </w:rPr>
        <w:t>El fomento del espíritu crítico y científico y la creatividad se desarrollarán a través de situaciones de aprendizaje en el que el alumnado tiene que dar su propia opinión basada en los conceptos estudiados y el desarrollo de actividades de laboratorio.</w:t>
      </w:r>
    </w:p>
    <w:p>
      <w:pPr>
        <w:pStyle w:val="LOnormal"/>
        <w:jc w:val="both"/>
        <w:rPr/>
      </w:pPr>
      <w:r>
        <w:rPr>
          <w:rFonts w:eastAsia="Cambria" w:cs="Cambria"/>
          <w:color w:val="000000"/>
          <w:sz w:val="22"/>
          <w:szCs w:val="22"/>
        </w:rPr>
        <w:t xml:space="preserve">La educación emocional y en valores, la igualdad de género, el respeto mutuo y la cooperación entre iguales se trabajarán mediante la mediación de los diferentes conflictos que puedan surgir en clase, respetando las diferentes opiniones, al igual que en el trabajo en equipo. </w:t>
      </w:r>
    </w:p>
    <w:p>
      <w:pPr>
        <w:pStyle w:val="LOnormal"/>
        <w:jc w:val="both"/>
        <w:rPr/>
      </w:pPr>
      <w:r>
        <w:rPr>
          <w:rFonts w:eastAsia="Cambria" w:cs="Cambria"/>
          <w:color w:val="000000"/>
          <w:sz w:val="22"/>
          <w:szCs w:val="22"/>
        </w:rPr>
        <w:t>La educación para la salud, la formación estética, la educación para la sostenibilidad y el consumo responsable se emplearán durante las diferentes unidades didácticas ejemplos relacionados con la vida cotidiana del alumnado, basados en estos elementos transversales e incluyendo las ODS.</w:t>
      </w:r>
    </w:p>
    <w:p>
      <w:pPr>
        <w:pStyle w:val="Normal"/>
        <w:jc w:val="both"/>
        <w:rPr/>
      </w:pPr>
      <w:r>
        <w:rPr>
          <w:rFonts w:eastAsia="Cambria" w:cs="Cambria"/>
          <w:b/>
          <w:sz w:val="22"/>
          <w:szCs w:val="22"/>
          <w:u w:val="single"/>
        </w:rPr>
        <w:t>11. CONCRECIÓN DEL PLAN DE UTILIZACIÓN DE LAS TECNOLOGÍAS DIGITALES</w:t>
      </w:r>
      <w:r>
        <w:rPr>
          <w:rFonts w:eastAsia="Cambria" w:cs="Cambria"/>
          <w:sz w:val="22"/>
          <w:szCs w:val="22"/>
        </w:rPr>
        <w:t xml:space="preserve"> </w:t>
      </w:r>
    </w:p>
    <w:p>
      <w:pPr>
        <w:pStyle w:val="Normal"/>
        <w:jc w:val="both"/>
        <w:rPr/>
      </w:pPr>
      <w:r>
        <w:rPr>
          <w:rFonts w:cs="Arial"/>
          <w:sz w:val="22"/>
          <w:szCs w:val="22"/>
        </w:rPr>
        <w:t xml:space="preserve">En consonancia con las características del actual contexto socio-cultural y, por consiguiente, con las inquietudes e intereses de los alumnos, es importante integrar las nuevas tecnologías en el aula. </w:t>
      </w:r>
    </w:p>
    <w:p>
      <w:pPr>
        <w:pStyle w:val="Normal"/>
        <w:jc w:val="both"/>
        <w:rPr/>
      </w:pPr>
      <w:r>
        <w:rPr>
          <w:rFonts w:cs="Arial"/>
          <w:sz w:val="22"/>
          <w:szCs w:val="22"/>
        </w:rPr>
        <w:t xml:space="preserve">Los alumnos utilizarán el ordenador para la </w:t>
      </w:r>
      <w:r>
        <w:rPr>
          <w:rFonts w:cs="Arial"/>
          <w:b/>
          <w:sz w:val="22"/>
          <w:szCs w:val="22"/>
        </w:rPr>
        <w:t>búsqueda y selección de informaciones</w:t>
      </w:r>
      <w:r>
        <w:rPr>
          <w:rFonts w:cs="Arial"/>
          <w:sz w:val="22"/>
          <w:szCs w:val="22"/>
        </w:rPr>
        <w:t xml:space="preserve"> necesarias para la elaboración y realización de prácticas de laboratorio así como </w:t>
      </w:r>
      <w:r>
        <w:rPr>
          <w:rFonts w:cs="Arial"/>
          <w:b/>
          <w:sz w:val="22"/>
          <w:szCs w:val="22"/>
        </w:rPr>
        <w:t>medio de consulta</w:t>
      </w:r>
      <w:r>
        <w:rPr>
          <w:rFonts w:cs="Arial"/>
          <w:sz w:val="22"/>
          <w:szCs w:val="22"/>
        </w:rPr>
        <w:t>. Esta labor será realizada frecuentemente fuera del horario lectivo, aunque también se podrá realizar dentro de alguna sesión.</w:t>
      </w:r>
    </w:p>
    <w:p>
      <w:pPr>
        <w:pStyle w:val="Normal"/>
        <w:jc w:val="both"/>
        <w:rPr/>
      </w:pPr>
      <w:r>
        <w:rPr>
          <w:rFonts w:cs="Arial"/>
          <w:sz w:val="22"/>
          <w:szCs w:val="22"/>
        </w:rPr>
        <w:t xml:space="preserve">El profesor utilizará en el aula el ordenador fijo de aula y el proyector para la </w:t>
      </w:r>
      <w:r>
        <w:rPr>
          <w:rFonts w:cs="Arial"/>
          <w:b/>
          <w:sz w:val="22"/>
          <w:szCs w:val="22"/>
        </w:rPr>
        <w:t>ilustración y/ o ampliación de determinados contenidos</w:t>
      </w:r>
      <w:r>
        <w:rPr>
          <w:rFonts w:cs="Arial"/>
          <w:sz w:val="22"/>
          <w:szCs w:val="22"/>
        </w:rPr>
        <w:t xml:space="preserve"> de la programación. Los alumnos podrán utilizarlo si resulta necesario para la </w:t>
      </w:r>
      <w:r>
        <w:rPr>
          <w:rFonts w:cs="Arial"/>
          <w:b/>
          <w:sz w:val="22"/>
          <w:szCs w:val="22"/>
        </w:rPr>
        <w:t>presentación</w:t>
      </w:r>
      <w:r>
        <w:rPr>
          <w:rFonts w:cs="Arial"/>
          <w:sz w:val="22"/>
          <w:szCs w:val="22"/>
        </w:rPr>
        <w:t xml:space="preserve"> de alguno de sus </w:t>
      </w:r>
      <w:r>
        <w:rPr>
          <w:rFonts w:cs="Arial"/>
          <w:b/>
          <w:sz w:val="22"/>
          <w:szCs w:val="22"/>
        </w:rPr>
        <w:t>trabajos</w:t>
      </w:r>
      <w:r>
        <w:rPr>
          <w:rFonts w:cs="Arial"/>
          <w:sz w:val="22"/>
          <w:szCs w:val="22"/>
        </w:rPr>
        <w:t>, si previamente se ha indicado que pueden o deben ser presentados en ese formato.</w:t>
      </w:r>
    </w:p>
    <w:p>
      <w:pPr>
        <w:pStyle w:val="Normal"/>
        <w:jc w:val="both"/>
        <w:rPr/>
      </w:pPr>
      <w:r>
        <w:rPr>
          <w:rFonts w:cs="Arial"/>
          <w:sz w:val="22"/>
          <w:szCs w:val="22"/>
        </w:rPr>
        <w:t xml:space="preserve">Los alumnos tendrán un </w:t>
      </w:r>
      <w:r>
        <w:rPr>
          <w:rFonts w:cs="Arial"/>
          <w:b/>
          <w:sz w:val="22"/>
          <w:szCs w:val="22"/>
        </w:rPr>
        <w:t>grupo de whasapp con la participación del profesor</w:t>
      </w:r>
      <w:r>
        <w:rPr>
          <w:rFonts w:cs="Arial"/>
          <w:sz w:val="22"/>
          <w:szCs w:val="22"/>
        </w:rPr>
        <w:t xml:space="preserve"> para </w:t>
      </w:r>
      <w:r>
        <w:rPr>
          <w:rFonts w:cs="Arial"/>
          <w:b/>
          <w:sz w:val="22"/>
          <w:szCs w:val="22"/>
        </w:rPr>
        <w:t xml:space="preserve">resolver dudas </w:t>
      </w:r>
      <w:r>
        <w:rPr>
          <w:rFonts w:cs="Arial"/>
          <w:sz w:val="22"/>
          <w:szCs w:val="22"/>
        </w:rPr>
        <w:t xml:space="preserve">puntuales, sobre problemas o teoría. Se utilizara como si fuera un </w:t>
      </w:r>
      <w:r>
        <w:rPr>
          <w:rFonts w:cs="Arial"/>
          <w:b/>
          <w:sz w:val="22"/>
          <w:szCs w:val="22"/>
        </w:rPr>
        <w:t>grupo de trabajo</w:t>
      </w:r>
      <w:r>
        <w:rPr>
          <w:rFonts w:cs="Arial"/>
          <w:sz w:val="22"/>
          <w:szCs w:val="22"/>
        </w:rPr>
        <w:t>, donde compartir dudas y resoluciones.</w:t>
      </w:r>
    </w:p>
    <w:p>
      <w:pPr>
        <w:pStyle w:val="Normal"/>
        <w:jc w:val="both"/>
        <w:rPr/>
      </w:pPr>
      <w:r>
        <w:rPr>
          <w:rFonts w:cs="Arial"/>
          <w:sz w:val="22"/>
          <w:szCs w:val="22"/>
        </w:rPr>
        <w:t xml:space="preserve">Se colgarán diversos trabajos y aportaciones de los alumnos en las redes sociales del IES. </w:t>
      </w:r>
    </w:p>
    <w:p>
      <w:pPr>
        <w:pStyle w:val="Normal"/>
        <w:jc w:val="both"/>
        <w:rPr/>
      </w:pPr>
      <w:r>
        <w:rPr>
          <w:rFonts w:eastAsia="Cambria" w:cs="Cambria"/>
          <w:b/>
          <w:sz w:val="22"/>
          <w:szCs w:val="22"/>
          <w:u w:val="single"/>
        </w:rPr>
        <w:t>Se utiliza la plataforma Classroom para colgar apuntes, presentaciones, las colecciones de</w:t>
      </w:r>
      <w:r>
        <w:rPr>
          <w:rFonts w:cs="Arial"/>
          <w:sz w:val="22"/>
          <w:szCs w:val="22"/>
        </w:rPr>
        <w:t xml:space="preserve"> ejercicios de EVAU, enlaces a ejercicios de la Olimpiada Química, problemas y cuestiones resueltos, enlaces a paginas web y cualquier material que se pueda compartir con lso alumnos. </w:t>
      </w:r>
    </w:p>
    <w:p>
      <w:pPr>
        <w:pStyle w:val="Normal"/>
        <w:jc w:val="both"/>
        <w:rPr/>
      </w:pPr>
      <w:r>
        <w:rPr>
          <w:rFonts w:eastAsia="Cambria" w:cs="Cambria"/>
          <w:b/>
          <w:sz w:val="22"/>
          <w:szCs w:val="22"/>
          <w:u w:val="single"/>
        </w:rPr>
        <w:t>12. CONCRECIÓN DEL PLAN LECTOR</w:t>
      </w:r>
    </w:p>
    <w:p>
      <w:pPr>
        <w:pStyle w:val="Normal"/>
        <w:jc w:val="both"/>
        <w:rPr/>
      </w:pPr>
      <w:r>
        <w:rPr>
          <w:rFonts w:cs="Arial"/>
          <w:sz w:val="22"/>
          <w:szCs w:val="22"/>
        </w:rPr>
        <w:t xml:space="preserve">Este punto es considerado clave en el centro, como evidencia el </w:t>
      </w:r>
      <w:r>
        <w:rPr>
          <w:rFonts w:cs="Arial"/>
          <w:b/>
          <w:sz w:val="22"/>
          <w:szCs w:val="22"/>
        </w:rPr>
        <w:t xml:space="preserve">Plan de Animación a la Lectura, englobado dentro del Plan de Competencia Ligüistica. </w:t>
      </w:r>
      <w:r>
        <w:rPr>
          <w:rFonts w:cs="Arial"/>
          <w:sz w:val="22"/>
          <w:szCs w:val="22"/>
        </w:rPr>
        <w:t>Al estar en un curso de bachillerato, además terminal y con una prueba tan definitiva como es la EVAU, se valorara realizar la lectura de algún texto científico, y/o científico divulgativo siempre que la temporalización lo permita.</w:t>
      </w:r>
    </w:p>
    <w:p>
      <w:pPr>
        <w:pStyle w:val="Normal"/>
        <w:jc w:val="both"/>
        <w:rPr/>
      </w:pPr>
      <w:r>
        <w:rPr>
          <w:rFonts w:eastAsia="Cambria" w:cs="Cambria"/>
          <w:b/>
          <w:sz w:val="22"/>
          <w:szCs w:val="22"/>
          <w:u w:val="single"/>
        </w:rPr>
        <w:t>13. MECANISMOS DE REVISIÓN, EVALUACIÓN Y MODIFICACIÓN DE LAS PROGRAMACIONES DIDÁCTICAS</w:t>
      </w:r>
    </w:p>
    <w:p>
      <w:pPr>
        <w:pStyle w:val="LOnormal"/>
        <w:jc w:val="both"/>
        <w:rPr/>
      </w:pPr>
      <w:r>
        <w:rPr>
          <w:rFonts w:eastAsia="Cambria" w:cs="Cambria"/>
          <w:color w:val="000000"/>
          <w:sz w:val="22"/>
          <w:szCs w:val="22"/>
        </w:rPr>
        <w:t xml:space="preserve">En primer lugar es necesario revisar la programación al principio del curso para comprobar que cumple con la legislación vigente (ya que puede ser modificada) y que está adaptada al grupo de alumnos del curso que se va a iniciar. En este momento se pueden realizar algunas modificaciones, especialmente en cuanto a las concreciones metodológicas y en relación a las Medidas de Atención a la Diversidad, con el fin de adaptar la Programación a la realidad del grupo antes de que sea incorporada a la Programación General Anual. </w:t>
      </w:r>
    </w:p>
    <w:p>
      <w:pPr>
        <w:pStyle w:val="LOnormal"/>
        <w:jc w:val="both"/>
        <w:rPr/>
      </w:pPr>
      <w:r>
        <w:rPr>
          <w:rFonts w:eastAsia="Cambria" w:cs="Cambria"/>
          <w:color w:val="000000"/>
          <w:sz w:val="22"/>
          <w:szCs w:val="22"/>
        </w:rPr>
        <w:t xml:space="preserve">Durante el desarrollo del curso, el grado de cumplimiento de la programación de cada materia se valora mensualmente en una de las Reuniones de Departamento. De esta forma se pueden detectar desviaciones entre los diferentes grupos de un mismo nivel, por ejemplo. </w:t>
      </w:r>
    </w:p>
    <w:p>
      <w:pPr>
        <w:pStyle w:val="LOnormal"/>
        <w:jc w:val="both"/>
        <w:rPr/>
      </w:pPr>
      <w:r>
        <w:rPr>
          <w:rFonts w:eastAsia="Cambria" w:cs="Cambria"/>
          <w:color w:val="000000"/>
          <w:sz w:val="22"/>
          <w:szCs w:val="22"/>
        </w:rPr>
        <w:t xml:space="preserve">Al menos en una ocasión durante el curso, los alumnos/as de cada grupo podrán contestar voluntariamente a unos cuestionarios online en relación al proceso enseñanza-aprendizaje, al clima de clase y a su propio esfuerzo. Las respuestas de los alumnos/as a estos cuestionarios son un elemento muy valioso como retroalimentación de lo planteado en esta Programación (actividades, metodología, secuenciación, evaluación, etc.) y de la labor docente. El análisis de estas respuestas puede servir para corregir errores sistemáticos, para incorporar mejoras propuestas por los alumnos/as y, en definitiva, para optimizar la Programación Didáctica y el proceso enseñanza-aprendizaje. </w:t>
      </w:r>
    </w:p>
    <w:p>
      <w:pPr>
        <w:pStyle w:val="LOnormal"/>
        <w:jc w:val="both"/>
        <w:rPr/>
      </w:pPr>
      <w:r>
        <w:rPr>
          <w:rFonts w:eastAsia="Cambria" w:cs="Cambria"/>
          <w:color w:val="000000"/>
          <w:sz w:val="22"/>
          <w:szCs w:val="22"/>
        </w:rPr>
        <w:t xml:space="preserve">Por otra parte, se realizará una evaluación de los resultados académicos obtenidos por los diferentes grupos de alumnos/as en la materia en este curso, comparándolos con los obtenidos en años anteriores y con la media de la comunidad autónoma de Aragón para cada nivel. Como consecuencia de dicho análisis se establecerán una serie de medidas destinadas a la mejora de dichos resultados que aparecerán recogidas en la Memoria del Departamento. </w:t>
      </w:r>
    </w:p>
    <w:p>
      <w:pPr>
        <w:pStyle w:val="LOnormal"/>
        <w:jc w:val="both"/>
        <w:rPr/>
      </w:pPr>
      <w:r>
        <w:rPr>
          <w:rFonts w:eastAsia="Cambria" w:cs="Cambria"/>
          <w:color w:val="000000"/>
          <w:sz w:val="22"/>
          <w:szCs w:val="22"/>
        </w:rPr>
        <w:t xml:space="preserve">Finalmente, se procederá a revisar la programación una vez que el curso haya terminado para la elaboración de la Memoria del Departamento. En este punto y a la vista del grado de cumplimiento global de la programación, de los resultados académicos del grupo, de las evaluaciones de los alumnos se puede hacer una valoración más nítida y precisa del proceso enseñanza-aprendizaje. Es en ese momento cuando se pueden proponer modificaciones de la programación como respuesta a desajustes o a propuestas de alumnos/as o de otros docentes del departamento. No obstante, cualquier modificación significativa deberá tener una justificación que la considere necesaria. </w:t>
      </w:r>
    </w:p>
    <w:p>
      <w:pPr>
        <w:pStyle w:val="Normal"/>
        <w:jc w:val="both"/>
        <w:rPr/>
      </w:pPr>
      <w:r>
        <w:rPr>
          <w:rFonts w:eastAsia="Cambria" w:cs="Cambria"/>
          <w:b/>
          <w:sz w:val="22"/>
          <w:szCs w:val="22"/>
          <w:u w:val="single"/>
        </w:rPr>
        <w:t>14. ACTIVIDADES COMPLEMENTARIAS Y EXTRAESCOLARES</w:t>
      </w:r>
    </w:p>
    <w:p>
      <w:pPr>
        <w:pStyle w:val="Normal"/>
        <w:jc w:val="both"/>
        <w:rPr/>
      </w:pPr>
      <w:r>
        <w:rPr>
          <w:rFonts w:eastAsia="Cambria" w:cs="Cambria"/>
          <w:sz w:val="22"/>
          <w:szCs w:val="22"/>
          <w:u w:val="single"/>
        </w:rPr>
        <w:t>Visita al ISQCH</w:t>
      </w:r>
    </w:p>
    <w:p>
      <w:pPr>
        <w:pStyle w:val="Normal"/>
        <w:numPr>
          <w:ilvl w:val="0"/>
          <w:numId w:val="5"/>
        </w:numPr>
        <w:jc w:val="both"/>
        <w:rPr/>
      </w:pPr>
      <w:r>
        <w:rPr>
          <w:rFonts w:eastAsia="Cambria" w:cs="Cambria"/>
          <w:sz w:val="22"/>
          <w:szCs w:val="22"/>
        </w:rPr>
        <w:t xml:space="preserve">En esta visita el catedrático Jesús Pérez hace una presentación del Instituto y de la facultada de ciencias </w:t>
      </w:r>
    </w:p>
    <w:p>
      <w:pPr>
        <w:pStyle w:val="Normal"/>
        <w:numPr>
          <w:ilvl w:val="0"/>
          <w:numId w:val="5"/>
        </w:numPr>
        <w:jc w:val="both"/>
        <w:rPr/>
      </w:pPr>
      <w:r>
        <w:rPr>
          <w:rFonts w:eastAsia="Cambria" w:cs="Cambria"/>
          <w:sz w:val="22"/>
          <w:szCs w:val="22"/>
        </w:rPr>
        <w:t>Una demostración experimental sobre diferentes lineas de investigación del ISQCH</w:t>
      </w:r>
    </w:p>
    <w:p>
      <w:pPr>
        <w:pStyle w:val="Normal"/>
        <w:numPr>
          <w:ilvl w:val="0"/>
          <w:numId w:val="5"/>
        </w:numPr>
        <w:jc w:val="both"/>
        <w:rPr/>
      </w:pPr>
      <w:r>
        <w:rPr>
          <w:rFonts w:eastAsia="Cambria" w:cs="Cambria"/>
          <w:sz w:val="22"/>
          <w:szCs w:val="22"/>
        </w:rPr>
        <w:t>Una visita a los laboratorios de investigación, con visita al RMN y difracto metro de rayos X</w:t>
      </w:r>
    </w:p>
    <w:p>
      <w:pPr>
        <w:pStyle w:val="Normal"/>
        <w:numPr>
          <w:ilvl w:val="0"/>
          <w:numId w:val="5"/>
        </w:numPr>
        <w:jc w:val="both"/>
        <w:rPr/>
      </w:pPr>
      <w:r>
        <w:rPr>
          <w:rFonts w:eastAsia="Cambria" w:cs="Cambria"/>
          <w:sz w:val="22"/>
          <w:szCs w:val="22"/>
        </w:rPr>
        <w:t>Charla con alumnos que están cursando grados de ciencias, ingeniería, FP superior……..</w:t>
      </w:r>
    </w:p>
    <w:p>
      <w:pPr>
        <w:pStyle w:val="Normal"/>
        <w:jc w:val="both"/>
        <w:rPr/>
      </w:pPr>
      <w:r>
        <w:rPr>
          <w:rFonts w:eastAsia="Cambria" w:cs="Cambria"/>
          <w:b/>
          <w:smallCaps/>
          <w:sz w:val="22"/>
          <w:szCs w:val="22"/>
          <w:u w:val="single"/>
        </w:rPr>
        <w:t>15. FORMA EN LA QUE SE DAN A CONOCER LOS ASPECTOS RELEVANTES DE ESTA PROGRAMACIÓN AL ALUMNADO Y LAS FAMILIAS</w:t>
      </w:r>
    </w:p>
    <w:p>
      <w:pPr>
        <w:pStyle w:val="Normal"/>
        <w:jc w:val="both"/>
        <w:rPr/>
      </w:pPr>
      <w:r>
        <w:rPr>
          <w:rFonts w:eastAsia="Cambria" w:cs="Cambria"/>
          <w:sz w:val="22"/>
          <w:szCs w:val="22"/>
        </w:rPr>
        <w:t xml:space="preserve">Los criterios de Calificación, instrumentos de evaluación se dan a conocer el primer  día del curso a los alumnos. </w:t>
      </w:r>
    </w:p>
    <w:p>
      <w:pPr>
        <w:pStyle w:val="Normal"/>
        <w:jc w:val="both"/>
        <w:rPr/>
      </w:pPr>
      <w:r>
        <w:rPr>
          <w:rFonts w:eastAsia="Cambria" w:cs="Cambria"/>
          <w:sz w:val="22"/>
          <w:szCs w:val="22"/>
        </w:rPr>
        <w:t xml:space="preserve">Ademas se informa de que están colgados de la pagina web del instituto  </w:t>
      </w:r>
    </w:p>
    <w:p>
      <w:pPr>
        <w:pStyle w:val="Normal"/>
        <w:widowControl/>
        <w:pBdr/>
        <w:shd w:val="clear" w:fill="auto"/>
        <w:spacing w:lineRule="auto" w:line="240" w:before="0" w:after="200"/>
        <w:ind w:left="0" w:right="0" w:hanging="0"/>
        <w:jc w:val="both"/>
        <w:rPr/>
      </w:pPr>
      <w:r>
        <w:rPr/>
      </w:r>
    </w:p>
    <w:sectPr>
      <w:headerReference w:type="default" r:id="rId13"/>
      <w:footerReference w:type="default" r:id="rId14"/>
      <w:footnotePr>
        <w:numFmt w:val="decimal"/>
      </w:footnotePr>
      <w:type w:val="nextPage"/>
      <w:pgSz w:w="11906" w:h="16838"/>
      <w:pgMar w:left="1701" w:right="1701" w:header="708" w:top="1417" w:footer="708" w:bottom="1417" w:gutter="0"/>
      <w:pgNumType w:start="1" w:fmt="decimal"/>
      <w:formProt w:val="false"/>
      <w:titlePg/>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OpenSymbol">
    <w:altName w:val="Arial Unicode MS"/>
    <w:charset w:val="02"/>
    <w:family w:val="auto"/>
    <w:pitch w:val="default"/>
  </w:font>
  <w:font w:name="Liberation Sans">
    <w:altName w:val="Arial"/>
    <w:charset w:val="00"/>
    <w:family w:val="swiss"/>
    <w:pitch w:val="variable"/>
  </w:font>
  <w:font w:name="Liberation Sans">
    <w:altName w:val="Arial"/>
    <w:charset w:val="00"/>
    <w:family w:val="roman"/>
    <w:pitch w:val="variable"/>
  </w:font>
  <w:font w:name="Cambria">
    <w:charset w:val="00"/>
    <w:family w:val="roman"/>
    <w:pitch w:val="variable"/>
  </w:font>
  <w:font w:name="Georgia">
    <w:charset w:val="00"/>
    <w:family w:val="roman"/>
    <w:pitch w:val="variable"/>
  </w:font>
  <w:font w:name="Verdana">
    <w:charset w:val="00"/>
    <w:family w:val="roman"/>
    <w:pitch w:val="variable"/>
  </w:font>
  <w:font w:name="Arial">
    <w:charset w:val="00"/>
    <w:family w:val="roman"/>
    <w:pitch w:val="variable"/>
  </w:font>
  <w:font w:name="Arial Narrow">
    <w:charset w:val="00"/>
    <w:family w:val="roman"/>
    <w:pitch w:val="variable"/>
  </w:font>
  <w:font w:name="Calibri">
    <w:altName w:val="sans-serif"/>
    <w:charset w:val="00"/>
    <w:family w:val="roman"/>
    <w:pitch w:val="variable"/>
  </w:font>
  <w:font w:name="Noto Sans Symbols">
    <w:charset w:val="01"/>
    <w:family w:val="auto"/>
    <w:pitch w:val="default"/>
  </w:font>
  <w:font w:name="Courier New">
    <w:charset w:val="01"/>
    <w:family w:val="modern"/>
    <w:pitch w:val="fixed"/>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pageBreakBefore w:val="false"/>
      <w:widowControl/>
      <w:pBdr/>
      <w:shd w:val="clear" w:fill="auto"/>
      <w:spacing w:lineRule="auto" w:line="240" w:before="120" w:after="0"/>
      <w:ind w:left="142" w:right="0" w:hanging="0"/>
      <w:jc w:val="center"/>
      <w:rPr>
        <w:rFonts w:ascii="Arial Narrow" w:hAnsi="Arial Narrow" w:eastAsia="Arial Narrow" w:cs="Arial Narrow"/>
        <w:b/>
        <w:b/>
        <w:i w:val="false"/>
        <w:i w:val="false"/>
        <w:smallCaps/>
        <w:strike w:val="false"/>
        <w:dstrike w:val="false"/>
        <w:color w:val="366091"/>
        <w:position w:val="0"/>
        <w:sz w:val="22"/>
        <w:sz w:val="18"/>
        <w:szCs w:val="18"/>
        <w:u w:val="none"/>
        <w:vertAlign w:val="baseline"/>
      </w:rPr>
    </w:pPr>
    <w:r>
      <w:rPr>
        <w:rFonts w:eastAsia="Arial Narrow" w:cs="Arial Narrow" w:ascii="Arial Narrow" w:hAnsi="Arial Narrow"/>
        <w:b/>
        <w:i w:val="false"/>
        <w:smallCaps/>
        <w:strike w:val="false"/>
        <w:dstrike w:val="false"/>
        <w:color w:val="366091"/>
        <w:position w:val="0"/>
        <w:sz w:val="18"/>
        <w:sz w:val="18"/>
        <w:szCs w:val="18"/>
        <w:u w:val="none"/>
        <w:shd w:fill="auto" w:val="clear"/>
        <w:vertAlign w:val="baseline"/>
      </w:rPr>
      <w:t xml:space="preserve">IES LA PUEBLA DE </w:t>
    </w:r>
    <w:r>
      <w:rPr>
        <w:rFonts w:eastAsia="Arial Narrow" w:cs="Arial Narrow" w:ascii="Arial Narrow" w:hAnsi="Arial Narrow"/>
        <w:b/>
        <w:i w:val="false"/>
        <w:smallCaps/>
        <w:strike w:val="false"/>
        <w:dstrike w:val="false"/>
        <w:color w:val="365F91"/>
        <w:position w:val="0"/>
        <w:sz w:val="18"/>
        <w:sz w:val="18"/>
        <w:szCs w:val="18"/>
        <w:u w:val="none"/>
        <w:shd w:fill="auto" w:val="clear"/>
        <w:vertAlign w:val="baseline"/>
      </w:rPr>
      <w:t>ALFINDÉN</w:t>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142" w:right="0" w:hanging="0"/>
      <w:jc w:val="center"/>
      <w:rPr>
        <w:rFonts w:ascii="Calibri" w:hAnsi="Calibri" w:eastAsia="Calibri" w:cs="Calibri"/>
        <w:b w:val="false"/>
        <w:b w:val="false"/>
        <w:i w:val="false"/>
        <w:i w:val="false"/>
        <w:caps w:val="false"/>
        <w:smallCaps w:val="false"/>
        <w:strike w:val="false"/>
        <w:dstrike w:val="false"/>
        <w:color w:val="00000A"/>
        <w:position w:val="0"/>
        <w:sz w:val="22"/>
        <w:sz w:val="18"/>
        <w:szCs w:val="18"/>
        <w:u w:val="none"/>
        <w:vertAlign w:val="baseline"/>
      </w:rPr>
    </w:pPr>
    <w:r>
      <w:rPr>
        <w:rFonts w:eastAsia="Calibri" w:cs="Calibri"/>
        <w:b w:val="false"/>
        <w:i w:val="false"/>
        <w:caps w:val="false"/>
        <w:smallCaps w:val="false"/>
        <w:strike w:val="false"/>
        <w:dstrike w:val="false"/>
        <w:color w:val="00000A"/>
        <w:position w:val="0"/>
        <w:sz w:val="18"/>
        <w:sz w:val="18"/>
        <w:szCs w:val="18"/>
        <w:u w:val="none"/>
        <w:shd w:fill="auto" w:val="clear"/>
        <w:vertAlign w:val="baseline"/>
      </w:rPr>
      <w:t>Av. de Pastriz, nº 2 – 50171 – La Puebla de Alfindén, Zaragoza | 976 107 602</w:t>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0" w:right="0" w:hanging="0"/>
      <w:jc w:val="center"/>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18"/>
        <w:sz w:val="18"/>
        <w:szCs w:val="18"/>
        <w:u w:val="none"/>
        <w:shd w:fill="auto" w:val="clear"/>
        <w:vertAlign w:val="baseline"/>
      </w:rPr>
      <w:t>ieslapuebla@educa.aragon.es | ieslapuebladealfinden.com</w: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pageBreakBefore w:val="false"/>
      <w:widowControl/>
      <w:pBdr/>
      <w:shd w:val="clear" w:fill="auto"/>
      <w:spacing w:lineRule="auto" w:line="240" w:before="120" w:after="0"/>
      <w:ind w:left="142" w:right="0" w:hanging="0"/>
      <w:jc w:val="center"/>
      <w:rPr>
        <w:rFonts w:ascii="Arial Narrow" w:hAnsi="Arial Narrow" w:eastAsia="Arial Narrow" w:cs="Arial Narrow"/>
        <w:b/>
        <w:b/>
        <w:i w:val="false"/>
        <w:i w:val="false"/>
        <w:smallCaps/>
        <w:strike w:val="false"/>
        <w:dstrike w:val="false"/>
        <w:color w:val="366091"/>
        <w:position w:val="0"/>
        <w:sz w:val="22"/>
        <w:sz w:val="18"/>
        <w:szCs w:val="18"/>
        <w:u w:val="none"/>
        <w:vertAlign w:val="baseline"/>
      </w:rPr>
    </w:pPr>
    <w:r>
      <w:rPr>
        <w:rFonts w:eastAsia="Arial Narrow" w:cs="Arial Narrow" w:ascii="Arial Narrow" w:hAnsi="Arial Narrow"/>
        <w:b/>
        <w:i w:val="false"/>
        <w:smallCaps/>
        <w:strike w:val="false"/>
        <w:dstrike w:val="false"/>
        <w:color w:val="366091"/>
        <w:position w:val="0"/>
        <w:sz w:val="18"/>
        <w:sz w:val="18"/>
        <w:szCs w:val="18"/>
        <w:u w:val="none"/>
        <w:shd w:fill="auto" w:val="clear"/>
        <w:vertAlign w:val="baseline"/>
      </w:rPr>
      <w:t xml:space="preserve">IES LA PUEBLA DE </w:t>
    </w:r>
    <w:r>
      <w:rPr>
        <w:rFonts w:eastAsia="Arial Narrow" w:cs="Arial Narrow" w:ascii="Arial Narrow" w:hAnsi="Arial Narrow"/>
        <w:b/>
        <w:i w:val="false"/>
        <w:smallCaps/>
        <w:strike w:val="false"/>
        <w:dstrike w:val="false"/>
        <w:color w:val="365F91"/>
        <w:position w:val="0"/>
        <w:sz w:val="18"/>
        <w:sz w:val="18"/>
        <w:szCs w:val="18"/>
        <w:u w:val="none"/>
        <w:shd w:fill="auto" w:val="clear"/>
        <w:vertAlign w:val="baseline"/>
      </w:rPr>
      <w:t>ALFINDÉN</w:t>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142" w:right="0" w:hanging="0"/>
      <w:jc w:val="center"/>
      <w:rPr>
        <w:rFonts w:ascii="Calibri" w:hAnsi="Calibri" w:eastAsia="Calibri" w:cs="Calibri"/>
        <w:b w:val="false"/>
        <w:b w:val="false"/>
        <w:i w:val="false"/>
        <w:i w:val="false"/>
        <w:caps w:val="false"/>
        <w:smallCaps w:val="false"/>
        <w:strike w:val="false"/>
        <w:dstrike w:val="false"/>
        <w:color w:val="00000A"/>
        <w:position w:val="0"/>
        <w:sz w:val="22"/>
        <w:sz w:val="18"/>
        <w:szCs w:val="18"/>
        <w:u w:val="none"/>
        <w:vertAlign w:val="baseline"/>
      </w:rPr>
    </w:pPr>
    <w:r>
      <w:rPr>
        <w:rFonts w:eastAsia="Calibri" w:cs="Calibri"/>
        <w:b w:val="false"/>
        <w:i w:val="false"/>
        <w:caps w:val="false"/>
        <w:smallCaps w:val="false"/>
        <w:strike w:val="false"/>
        <w:dstrike w:val="false"/>
        <w:color w:val="00000A"/>
        <w:position w:val="0"/>
        <w:sz w:val="18"/>
        <w:sz w:val="18"/>
        <w:szCs w:val="18"/>
        <w:u w:val="none"/>
        <w:shd w:fill="auto" w:val="clear"/>
        <w:vertAlign w:val="baseline"/>
      </w:rPr>
      <w:t>Av. de Pastriz, nº 2 – 50171 – La Puebla de Alfindén, Zaragoza | 976 107 602</w:t>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0" w:right="0" w:hanging="0"/>
      <w:jc w:val="center"/>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18"/>
        <w:sz w:val="18"/>
        <w:szCs w:val="18"/>
        <w:u w:val="none"/>
        <w:shd w:fill="auto" w:val="clear"/>
        <w:vertAlign w:val="baseline"/>
      </w:rPr>
      <w:t>ieslapuebla@educa.aragon.es | ieslapuebladealfinden.com</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pageBreakBefore w:val="false"/>
      <w:widowControl/>
      <w:pBdr/>
      <w:shd w:val="clear" w:fill="auto"/>
      <w:spacing w:lineRule="auto" w:line="240" w:before="120" w:after="0"/>
      <w:ind w:left="142" w:right="0" w:hanging="0"/>
      <w:jc w:val="center"/>
      <w:rPr>
        <w:rFonts w:ascii="Arial Narrow" w:hAnsi="Arial Narrow" w:eastAsia="Arial Narrow" w:cs="Arial Narrow"/>
        <w:b/>
        <w:b/>
        <w:i w:val="false"/>
        <w:i w:val="false"/>
        <w:smallCaps/>
        <w:strike w:val="false"/>
        <w:dstrike w:val="false"/>
        <w:color w:val="366091"/>
        <w:position w:val="0"/>
        <w:sz w:val="22"/>
        <w:sz w:val="18"/>
        <w:szCs w:val="18"/>
        <w:u w:val="none"/>
        <w:vertAlign w:val="baseline"/>
      </w:rPr>
    </w:pPr>
    <w:r>
      <w:rPr>
        <w:rFonts w:eastAsia="Arial Narrow" w:cs="Arial Narrow" w:ascii="Arial Narrow" w:hAnsi="Arial Narrow"/>
        <w:b/>
        <w:i w:val="false"/>
        <w:smallCaps/>
        <w:strike w:val="false"/>
        <w:dstrike w:val="false"/>
        <w:color w:val="366091"/>
        <w:position w:val="0"/>
        <w:sz w:val="18"/>
        <w:sz w:val="18"/>
        <w:szCs w:val="18"/>
        <w:u w:val="none"/>
        <w:shd w:fill="auto" w:val="clear"/>
        <w:vertAlign w:val="baseline"/>
      </w:rPr>
      <w:t xml:space="preserve">IES LA PUEBLA DE </w:t>
    </w:r>
    <w:r>
      <w:rPr>
        <w:rFonts w:eastAsia="Arial Narrow" w:cs="Arial Narrow" w:ascii="Arial Narrow" w:hAnsi="Arial Narrow"/>
        <w:b/>
        <w:i w:val="false"/>
        <w:smallCaps/>
        <w:strike w:val="false"/>
        <w:dstrike w:val="false"/>
        <w:color w:val="365F91"/>
        <w:position w:val="0"/>
        <w:sz w:val="18"/>
        <w:sz w:val="18"/>
        <w:szCs w:val="18"/>
        <w:u w:val="none"/>
        <w:shd w:fill="auto" w:val="clear"/>
        <w:vertAlign w:val="baseline"/>
      </w:rPr>
      <w:t>ALFINDÉN</w:t>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142" w:right="0" w:hanging="0"/>
      <w:jc w:val="center"/>
      <w:rPr>
        <w:rFonts w:ascii="Calibri" w:hAnsi="Calibri" w:eastAsia="Calibri" w:cs="Calibri"/>
        <w:b w:val="false"/>
        <w:b w:val="false"/>
        <w:i w:val="false"/>
        <w:i w:val="false"/>
        <w:caps w:val="false"/>
        <w:smallCaps w:val="false"/>
        <w:strike w:val="false"/>
        <w:dstrike w:val="false"/>
        <w:color w:val="00000A"/>
        <w:position w:val="0"/>
        <w:sz w:val="22"/>
        <w:sz w:val="18"/>
        <w:szCs w:val="18"/>
        <w:u w:val="none"/>
        <w:vertAlign w:val="baseline"/>
      </w:rPr>
    </w:pPr>
    <w:r>
      <w:rPr>
        <w:rFonts w:eastAsia="Calibri" w:cs="Calibri"/>
        <w:b w:val="false"/>
        <w:i w:val="false"/>
        <w:caps w:val="false"/>
        <w:smallCaps w:val="false"/>
        <w:strike w:val="false"/>
        <w:dstrike w:val="false"/>
        <w:color w:val="00000A"/>
        <w:position w:val="0"/>
        <w:sz w:val="18"/>
        <w:sz w:val="18"/>
        <w:szCs w:val="18"/>
        <w:u w:val="none"/>
        <w:shd w:fill="auto" w:val="clear"/>
        <w:vertAlign w:val="baseline"/>
      </w:rPr>
      <w:t>Av. de Pastriz, nº 2 – 50171 – La Puebla de Alfindén, Zaragoza | 976 107 602</w:t>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0" w:right="0" w:hanging="0"/>
      <w:jc w:val="center"/>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18"/>
        <w:sz w:val="18"/>
        <w:szCs w:val="18"/>
        <w:u w:val="none"/>
        <w:shd w:fill="auto" w:val="clear"/>
        <w:vertAlign w:val="baseline"/>
      </w:rPr>
      <w:t>ieslapuebla@educa.aragon.es | ieslapuebladealfinden.com</w: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pageBreakBefore w:val="false"/>
      <w:widowControl/>
      <w:pBdr/>
      <w:shd w:val="clear" w:fill="auto"/>
      <w:spacing w:lineRule="auto" w:line="240" w:before="120" w:after="0"/>
      <w:ind w:left="142" w:right="0" w:hanging="0"/>
      <w:jc w:val="center"/>
      <w:rPr>
        <w:rFonts w:ascii="Arial Narrow" w:hAnsi="Arial Narrow" w:eastAsia="Arial Narrow" w:cs="Arial Narrow"/>
        <w:b/>
        <w:b/>
        <w:i w:val="false"/>
        <w:i w:val="false"/>
        <w:smallCaps/>
        <w:strike w:val="false"/>
        <w:dstrike w:val="false"/>
        <w:color w:val="366091"/>
        <w:position w:val="0"/>
        <w:sz w:val="22"/>
        <w:sz w:val="18"/>
        <w:szCs w:val="18"/>
        <w:u w:val="none"/>
        <w:vertAlign w:val="baseline"/>
      </w:rPr>
    </w:pPr>
    <w:r>
      <w:rPr>
        <w:rFonts w:eastAsia="Arial Narrow" w:cs="Arial Narrow" w:ascii="Arial Narrow" w:hAnsi="Arial Narrow"/>
        <w:b/>
        <w:i w:val="false"/>
        <w:smallCaps/>
        <w:strike w:val="false"/>
        <w:dstrike w:val="false"/>
        <w:color w:val="366091"/>
        <w:position w:val="0"/>
        <w:sz w:val="18"/>
        <w:sz w:val="18"/>
        <w:szCs w:val="18"/>
        <w:u w:val="none"/>
        <w:shd w:fill="auto" w:val="clear"/>
        <w:vertAlign w:val="baseline"/>
      </w:rPr>
      <w:t xml:space="preserve">IES LA PUEBLA DE </w:t>
    </w:r>
    <w:r>
      <w:rPr>
        <w:rFonts w:eastAsia="Arial Narrow" w:cs="Arial Narrow" w:ascii="Arial Narrow" w:hAnsi="Arial Narrow"/>
        <w:b/>
        <w:i w:val="false"/>
        <w:smallCaps/>
        <w:strike w:val="false"/>
        <w:dstrike w:val="false"/>
        <w:color w:val="365F91"/>
        <w:position w:val="0"/>
        <w:sz w:val="18"/>
        <w:sz w:val="18"/>
        <w:szCs w:val="18"/>
        <w:u w:val="none"/>
        <w:shd w:fill="auto" w:val="clear"/>
        <w:vertAlign w:val="baseline"/>
      </w:rPr>
      <w:t>ALFINDÉN</w:t>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142" w:right="0" w:hanging="0"/>
      <w:jc w:val="center"/>
      <w:rPr>
        <w:rFonts w:ascii="Calibri" w:hAnsi="Calibri" w:eastAsia="Calibri" w:cs="Calibri"/>
        <w:b w:val="false"/>
        <w:b w:val="false"/>
        <w:i w:val="false"/>
        <w:i w:val="false"/>
        <w:caps w:val="false"/>
        <w:smallCaps w:val="false"/>
        <w:strike w:val="false"/>
        <w:dstrike w:val="false"/>
        <w:color w:val="00000A"/>
        <w:position w:val="0"/>
        <w:sz w:val="22"/>
        <w:sz w:val="18"/>
        <w:szCs w:val="18"/>
        <w:u w:val="none"/>
        <w:vertAlign w:val="baseline"/>
      </w:rPr>
    </w:pPr>
    <w:r>
      <w:rPr>
        <w:rFonts w:eastAsia="Calibri" w:cs="Calibri"/>
        <w:b w:val="false"/>
        <w:i w:val="false"/>
        <w:caps w:val="false"/>
        <w:smallCaps w:val="false"/>
        <w:strike w:val="false"/>
        <w:dstrike w:val="false"/>
        <w:color w:val="00000A"/>
        <w:position w:val="0"/>
        <w:sz w:val="18"/>
        <w:sz w:val="18"/>
        <w:szCs w:val="18"/>
        <w:u w:val="none"/>
        <w:shd w:fill="auto" w:val="clear"/>
        <w:vertAlign w:val="baseline"/>
      </w:rPr>
      <w:t>Av. de Pastriz, nº 2 – 50171 – La Puebla de Alfindén, Zaragoza | 976 107 602</w:t>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0" w:right="0" w:hanging="0"/>
      <w:jc w:val="center"/>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18"/>
        <w:sz w:val="18"/>
        <w:szCs w:val="18"/>
        <w:u w:val="none"/>
        <w:shd w:fill="auto" w:val="clear"/>
        <w:vertAlign w:val="baseline"/>
      </w:rPr>
      <w:t>ieslapuebla@educa.aragon.es | ieslapuebladealfinden.com</w: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pageBreakBefore w:val="false"/>
      <w:widowControl/>
      <w:pBdr/>
      <w:shd w:val="clear" w:fill="auto"/>
      <w:spacing w:lineRule="auto" w:line="240" w:before="120" w:after="0"/>
      <w:ind w:left="142" w:right="0" w:hanging="0"/>
      <w:jc w:val="center"/>
      <w:rPr>
        <w:rFonts w:ascii="Arial Narrow" w:hAnsi="Arial Narrow" w:eastAsia="Arial Narrow" w:cs="Arial Narrow"/>
        <w:b/>
        <w:b/>
        <w:i w:val="false"/>
        <w:i w:val="false"/>
        <w:smallCaps/>
        <w:strike w:val="false"/>
        <w:dstrike w:val="false"/>
        <w:color w:val="366091"/>
        <w:position w:val="0"/>
        <w:sz w:val="22"/>
        <w:sz w:val="18"/>
        <w:szCs w:val="18"/>
        <w:u w:val="none"/>
        <w:vertAlign w:val="baseline"/>
      </w:rPr>
    </w:pPr>
    <w:r>
      <w:rPr>
        <w:rFonts w:eastAsia="Arial Narrow" w:cs="Arial Narrow" w:ascii="Arial Narrow" w:hAnsi="Arial Narrow"/>
        <w:b/>
        <w:i w:val="false"/>
        <w:smallCaps/>
        <w:strike w:val="false"/>
        <w:dstrike w:val="false"/>
        <w:color w:val="366091"/>
        <w:position w:val="0"/>
        <w:sz w:val="18"/>
        <w:sz w:val="18"/>
        <w:szCs w:val="18"/>
        <w:u w:val="none"/>
        <w:shd w:fill="auto" w:val="clear"/>
        <w:vertAlign w:val="baseline"/>
      </w:rPr>
      <w:t xml:space="preserve">IES LA PUEBLA DE </w:t>
    </w:r>
    <w:r>
      <w:rPr>
        <w:rFonts w:eastAsia="Arial Narrow" w:cs="Arial Narrow" w:ascii="Arial Narrow" w:hAnsi="Arial Narrow"/>
        <w:b/>
        <w:i w:val="false"/>
        <w:smallCaps/>
        <w:strike w:val="false"/>
        <w:dstrike w:val="false"/>
        <w:color w:val="365F91"/>
        <w:position w:val="0"/>
        <w:sz w:val="18"/>
        <w:sz w:val="18"/>
        <w:szCs w:val="18"/>
        <w:u w:val="none"/>
        <w:shd w:fill="auto" w:val="clear"/>
        <w:vertAlign w:val="baseline"/>
      </w:rPr>
      <w:t>ALFINDÉN</w:t>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142" w:right="0" w:hanging="0"/>
      <w:jc w:val="center"/>
      <w:rPr>
        <w:rFonts w:ascii="Calibri" w:hAnsi="Calibri" w:eastAsia="Calibri" w:cs="Calibri"/>
        <w:b w:val="false"/>
        <w:b w:val="false"/>
        <w:i w:val="false"/>
        <w:i w:val="false"/>
        <w:caps w:val="false"/>
        <w:smallCaps w:val="false"/>
        <w:strike w:val="false"/>
        <w:dstrike w:val="false"/>
        <w:color w:val="00000A"/>
        <w:position w:val="0"/>
        <w:sz w:val="22"/>
        <w:sz w:val="18"/>
        <w:szCs w:val="18"/>
        <w:u w:val="none"/>
        <w:vertAlign w:val="baseline"/>
      </w:rPr>
    </w:pPr>
    <w:r>
      <w:rPr>
        <w:rFonts w:eastAsia="Calibri" w:cs="Calibri"/>
        <w:b w:val="false"/>
        <w:i w:val="false"/>
        <w:caps w:val="false"/>
        <w:smallCaps w:val="false"/>
        <w:strike w:val="false"/>
        <w:dstrike w:val="false"/>
        <w:color w:val="00000A"/>
        <w:position w:val="0"/>
        <w:sz w:val="18"/>
        <w:sz w:val="18"/>
        <w:szCs w:val="18"/>
        <w:u w:val="none"/>
        <w:shd w:fill="auto" w:val="clear"/>
        <w:vertAlign w:val="baseline"/>
      </w:rPr>
      <w:t>Av. de Pastriz, nº 2 – 50171 – La Puebla de Alfindén, Zaragoza | 976 107 602</w:t>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0" w:right="0" w:hanging="0"/>
      <w:jc w:val="center"/>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18"/>
        <w:sz w:val="18"/>
        <w:szCs w:val="18"/>
        <w:u w:val="none"/>
        <w:shd w:fill="auto" w:val="clear"/>
        <w:vertAlign w:val="baseline"/>
      </w:rPr>
      <w:t>ieslapuebla@educa.aragon.es | ieslapuebladealfinden.com</w:t>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pageBreakBefore w:val="false"/>
      <w:widowControl/>
      <w:pBdr/>
      <w:shd w:val="clear" w:fill="auto"/>
      <w:spacing w:lineRule="auto" w:line="240" w:before="120" w:after="0"/>
      <w:ind w:left="142" w:right="0" w:hanging="0"/>
      <w:jc w:val="center"/>
      <w:rPr>
        <w:rFonts w:ascii="Arial Narrow" w:hAnsi="Arial Narrow" w:eastAsia="Arial Narrow" w:cs="Arial Narrow"/>
        <w:b/>
        <w:b/>
        <w:i w:val="false"/>
        <w:i w:val="false"/>
        <w:smallCaps/>
        <w:strike w:val="false"/>
        <w:dstrike w:val="false"/>
        <w:color w:val="366091"/>
        <w:position w:val="0"/>
        <w:sz w:val="22"/>
        <w:sz w:val="18"/>
        <w:szCs w:val="18"/>
        <w:u w:val="none"/>
        <w:vertAlign w:val="baseline"/>
      </w:rPr>
    </w:pPr>
    <w:r>
      <w:rPr>
        <w:rFonts w:eastAsia="Arial Narrow" w:cs="Arial Narrow" w:ascii="Arial Narrow" w:hAnsi="Arial Narrow"/>
        <w:b/>
        <w:i w:val="false"/>
        <w:smallCaps/>
        <w:strike w:val="false"/>
        <w:dstrike w:val="false"/>
        <w:color w:val="366091"/>
        <w:position w:val="0"/>
        <w:sz w:val="18"/>
        <w:sz w:val="18"/>
        <w:szCs w:val="18"/>
        <w:u w:val="none"/>
        <w:shd w:fill="auto" w:val="clear"/>
        <w:vertAlign w:val="baseline"/>
      </w:rPr>
      <w:t xml:space="preserve">IES LA PUEBLA DE </w:t>
    </w:r>
    <w:r>
      <w:rPr>
        <w:rFonts w:eastAsia="Arial Narrow" w:cs="Arial Narrow" w:ascii="Arial Narrow" w:hAnsi="Arial Narrow"/>
        <w:b/>
        <w:i w:val="false"/>
        <w:smallCaps/>
        <w:strike w:val="false"/>
        <w:dstrike w:val="false"/>
        <w:color w:val="365F91"/>
        <w:position w:val="0"/>
        <w:sz w:val="18"/>
        <w:sz w:val="18"/>
        <w:szCs w:val="18"/>
        <w:u w:val="none"/>
        <w:shd w:fill="auto" w:val="clear"/>
        <w:vertAlign w:val="baseline"/>
      </w:rPr>
      <w:t>ALFINDÉN</w:t>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142" w:right="0" w:hanging="0"/>
      <w:jc w:val="center"/>
      <w:rPr>
        <w:rFonts w:ascii="Calibri" w:hAnsi="Calibri" w:eastAsia="Calibri" w:cs="Calibri"/>
        <w:b w:val="false"/>
        <w:b w:val="false"/>
        <w:i w:val="false"/>
        <w:i w:val="false"/>
        <w:caps w:val="false"/>
        <w:smallCaps w:val="false"/>
        <w:strike w:val="false"/>
        <w:dstrike w:val="false"/>
        <w:color w:val="00000A"/>
        <w:position w:val="0"/>
        <w:sz w:val="22"/>
        <w:sz w:val="18"/>
        <w:szCs w:val="18"/>
        <w:u w:val="none"/>
        <w:vertAlign w:val="baseline"/>
      </w:rPr>
    </w:pPr>
    <w:r>
      <w:rPr>
        <w:rFonts w:eastAsia="Calibri" w:cs="Calibri"/>
        <w:b w:val="false"/>
        <w:i w:val="false"/>
        <w:caps w:val="false"/>
        <w:smallCaps w:val="false"/>
        <w:strike w:val="false"/>
        <w:dstrike w:val="false"/>
        <w:color w:val="00000A"/>
        <w:position w:val="0"/>
        <w:sz w:val="18"/>
        <w:sz w:val="18"/>
        <w:szCs w:val="18"/>
        <w:u w:val="none"/>
        <w:shd w:fill="auto" w:val="clear"/>
        <w:vertAlign w:val="baseline"/>
      </w:rPr>
      <w:t>Av. de Pastriz, nº 2 – 50171 – La Puebla de Alfindén, Zaragoza | 976 107 602</w:t>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0" w:right="0" w:hanging="0"/>
      <w:jc w:val="center"/>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18"/>
        <w:sz w:val="18"/>
        <w:szCs w:val="18"/>
        <w:u w:val="none"/>
        <w:shd w:fill="auto" w:val="clear"/>
        <w:vertAlign w:val="baseline"/>
      </w:rPr>
      <w:t>ieslapuebla@educa.aragon.es | ieslapuebladealfinden.com</w:t>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Notaalpie"/>
        <w:spacing w:before="0" w:after="200"/>
        <w:rPr/>
      </w:pPr>
      <w:r>
        <w:rPr>
          <w:rStyle w:val="Caracteresdenotaalpie"/>
        </w:rPr>
        <w:footnoteRef/>
      </w:r>
      <w:r>
        <w:rPr/>
        <w:tab/>
        <w:t xml:space="preserve"> </w:t>
      </w:r>
      <w:r>
        <w:rPr/>
        <w:t>Desde el departamento de Orientación se realiza la formación necesaria para ser voluntario en los grupos interactivos. Ademas de padres también pueden ser voluntarios otros profesores</w:t>
      </w:r>
    </w:p>
  </w:footnote>
  <w:footnote w:id="3">
    <w:p>
      <w:pPr>
        <w:pStyle w:val="Notaalpie"/>
        <w:spacing w:before="0" w:after="200"/>
        <w:rPr/>
      </w:pPr>
      <w:r>
        <w:rPr>
          <w:rStyle w:val="Caracteresdenotaalpie"/>
        </w:rPr>
        <w:footnoteRef/>
      </w:r>
      <w:r>
        <w:rPr/>
        <w:tab/>
        <w:t xml:space="preserve"> </w:t>
      </w:r>
      <w:r>
        <w:rPr/>
        <w:t>Desde el departamento de Orientación se realiza la formación necesaria para ser voluntario en los grupos interactivos. Ademas de padres también pueden ser voluntarios otros profesores</w:t>
      </w:r>
    </w:p>
  </w:footnote>
  <w:footnote w:id="4">
    <w:p>
      <w:pPr>
        <w:pStyle w:val="Notaalpie"/>
        <w:spacing w:before="0" w:after="200"/>
        <w:rPr/>
      </w:pPr>
      <w:r>
        <w:rPr>
          <w:rStyle w:val="Caracteresdenotaalpie"/>
        </w:rPr>
        <w:footnoteRef/>
      </w:r>
      <w:r>
        <w:rPr/>
        <w:tab/>
        <w:t xml:space="preserve"> </w:t>
      </w:r>
      <w:r>
        <w:rPr/>
        <w:t>Desde el departamento de Orientación se realiza la formación necesaria para ser voluntario en los grupos interactivos. Ademas de padres también pueden ser voluntarios otros profesores</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drawing>
        <wp:anchor behindDoc="1" distT="0" distB="0" distL="0" distR="0" simplePos="0" locked="0" layoutInCell="1" allowOverlap="1" relativeHeight="184">
          <wp:simplePos x="0" y="0"/>
          <wp:positionH relativeFrom="column">
            <wp:posOffset>4195445</wp:posOffset>
          </wp:positionH>
          <wp:positionV relativeFrom="paragraph">
            <wp:posOffset>-279400</wp:posOffset>
          </wp:positionV>
          <wp:extent cx="1617980" cy="721995"/>
          <wp:effectExtent l="0" t="0" r="0" b="0"/>
          <wp:wrapTopAndBottom/>
          <wp:docPr id="1"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pic:cNvPicPr>
                    <a:picLocks noChangeAspect="1" noChangeArrowheads="1"/>
                  </pic:cNvPicPr>
                </pic:nvPicPr>
                <pic:blipFill>
                  <a:blip r:embed="rId1"/>
                  <a:srcRect l="-10" t="-28" r="-13" b="-28"/>
                  <a:stretch>
                    <a:fillRect/>
                  </a:stretch>
                </pic:blipFill>
                <pic:spPr bwMode="auto">
                  <a:xfrm>
                    <a:off x="0" y="0"/>
                    <a:ext cx="1617980" cy="721995"/>
                  </a:xfrm>
                  <a:prstGeom prst="rect">
                    <a:avLst/>
                  </a:prstGeom>
                </pic:spPr>
              </pic:pic>
            </a:graphicData>
          </a:graphic>
        </wp:anchor>
      </w:drawing>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drawing>
        <wp:anchor behindDoc="1" distT="0" distB="0" distL="0" distR="0" simplePos="0" locked="0" layoutInCell="1" allowOverlap="1" relativeHeight="184">
          <wp:simplePos x="0" y="0"/>
          <wp:positionH relativeFrom="column">
            <wp:posOffset>4195445</wp:posOffset>
          </wp:positionH>
          <wp:positionV relativeFrom="paragraph">
            <wp:posOffset>-279400</wp:posOffset>
          </wp:positionV>
          <wp:extent cx="1617980" cy="721995"/>
          <wp:effectExtent l="0" t="0" r="0" b="0"/>
          <wp:wrapTopAndBottom/>
          <wp:docPr id="2"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
                  <pic:cNvPicPr>
                    <a:picLocks noChangeAspect="1" noChangeArrowheads="1"/>
                  </pic:cNvPicPr>
                </pic:nvPicPr>
                <pic:blipFill>
                  <a:blip r:embed="rId1"/>
                  <a:srcRect l="-10" t="-28" r="-13" b="-28"/>
                  <a:stretch>
                    <a:fillRect/>
                  </a:stretch>
                </pic:blipFill>
                <pic:spPr bwMode="auto">
                  <a:xfrm>
                    <a:off x="0" y="0"/>
                    <a:ext cx="1617980" cy="721995"/>
                  </a:xfrm>
                  <a:prstGeom prst="rect">
                    <a:avLst/>
                  </a:prstGeom>
                </pic:spPr>
              </pic:pic>
            </a:graphicData>
          </a:graphic>
        </wp:anchor>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drawing>
        <wp:anchor behindDoc="1" distT="0" distB="0" distL="0" distR="0" simplePos="0" locked="0" layoutInCell="1" allowOverlap="1" relativeHeight="184">
          <wp:simplePos x="0" y="0"/>
          <wp:positionH relativeFrom="column">
            <wp:posOffset>4195445</wp:posOffset>
          </wp:positionH>
          <wp:positionV relativeFrom="paragraph">
            <wp:posOffset>-279400</wp:posOffset>
          </wp:positionV>
          <wp:extent cx="1617980" cy="721995"/>
          <wp:effectExtent l="0" t="0" r="0" b="0"/>
          <wp:wrapTopAndBottom/>
          <wp:docPr id="3"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descr=""/>
                  <pic:cNvPicPr>
                    <a:picLocks noChangeAspect="1" noChangeArrowheads="1"/>
                  </pic:cNvPicPr>
                </pic:nvPicPr>
                <pic:blipFill>
                  <a:blip r:embed="rId1"/>
                  <a:srcRect l="-10" t="-28" r="-13" b="-28"/>
                  <a:stretch>
                    <a:fillRect/>
                  </a:stretch>
                </pic:blipFill>
                <pic:spPr bwMode="auto">
                  <a:xfrm>
                    <a:off x="0" y="0"/>
                    <a:ext cx="1617980" cy="721995"/>
                  </a:xfrm>
                  <a:prstGeom prst="rect">
                    <a:avLst/>
                  </a:prstGeom>
                </pic:spPr>
              </pic:pic>
            </a:graphicData>
          </a:graphic>
        </wp:anchor>
      </w:drawing>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drawing>
        <wp:anchor behindDoc="1" distT="0" distB="0" distL="0" distR="0" simplePos="0" locked="0" layoutInCell="1" allowOverlap="1" relativeHeight="184">
          <wp:simplePos x="0" y="0"/>
          <wp:positionH relativeFrom="column">
            <wp:posOffset>4195445</wp:posOffset>
          </wp:positionH>
          <wp:positionV relativeFrom="paragraph">
            <wp:posOffset>-279400</wp:posOffset>
          </wp:positionV>
          <wp:extent cx="1617980" cy="721995"/>
          <wp:effectExtent l="0" t="0" r="0" b="0"/>
          <wp:wrapTopAndBottom/>
          <wp:docPr id="4"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descr=""/>
                  <pic:cNvPicPr>
                    <a:picLocks noChangeAspect="1" noChangeArrowheads="1"/>
                  </pic:cNvPicPr>
                </pic:nvPicPr>
                <pic:blipFill>
                  <a:blip r:embed="rId1"/>
                  <a:srcRect l="-10" t="-28" r="-13" b="-28"/>
                  <a:stretch>
                    <a:fillRect/>
                  </a:stretch>
                </pic:blipFill>
                <pic:spPr bwMode="auto">
                  <a:xfrm>
                    <a:off x="0" y="0"/>
                    <a:ext cx="1617980" cy="721995"/>
                  </a:xfrm>
                  <a:prstGeom prst="rect">
                    <a:avLst/>
                  </a:prstGeom>
                </pic:spPr>
              </pic:pic>
            </a:graphicData>
          </a:graphic>
        </wp:anchor>
      </w:drawing>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drawing>
        <wp:anchor behindDoc="1" distT="0" distB="0" distL="0" distR="0" simplePos="0" locked="0" layoutInCell="1" allowOverlap="1" relativeHeight="184">
          <wp:simplePos x="0" y="0"/>
          <wp:positionH relativeFrom="column">
            <wp:posOffset>4195445</wp:posOffset>
          </wp:positionH>
          <wp:positionV relativeFrom="paragraph">
            <wp:posOffset>-279400</wp:posOffset>
          </wp:positionV>
          <wp:extent cx="1617980" cy="721995"/>
          <wp:effectExtent l="0" t="0" r="0" b="0"/>
          <wp:wrapTopAndBottom/>
          <wp:docPr id="5"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descr=""/>
                  <pic:cNvPicPr>
                    <a:picLocks noChangeAspect="1" noChangeArrowheads="1"/>
                  </pic:cNvPicPr>
                </pic:nvPicPr>
                <pic:blipFill>
                  <a:blip r:embed="rId1"/>
                  <a:srcRect l="-10" t="-28" r="-13" b="-28"/>
                  <a:stretch>
                    <a:fillRect/>
                  </a:stretch>
                </pic:blipFill>
                <pic:spPr bwMode="auto">
                  <a:xfrm>
                    <a:off x="0" y="0"/>
                    <a:ext cx="1617980" cy="721995"/>
                  </a:xfrm>
                  <a:prstGeom prst="rect">
                    <a:avLst/>
                  </a:prstGeom>
                </pic:spPr>
              </pic:pic>
            </a:graphicData>
          </a:graphic>
        </wp:anchor>
      </w:drawing>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A"/>
        <w:position w:val="0"/>
        <w:sz w:val="22"/>
        <w:sz w:val="22"/>
        <w:szCs w:val="22"/>
        <w:u w:val="none"/>
        <w:vertAlign w:val="baseline"/>
      </w:rPr>
    </w:pPr>
    <w:r>
      <w:rPr>
        <w:rFonts w:eastAsia="Calibri" w:cs="Calibri"/>
        <w:b w:val="false"/>
        <w:i w:val="false"/>
        <w:caps w:val="false"/>
        <w:smallCaps w:val="false"/>
        <w:strike w:val="false"/>
        <w:dstrike w:val="false"/>
        <w:color w:val="00000A"/>
        <w:position w:val="0"/>
        <w:sz w:val="22"/>
        <w:sz w:val="22"/>
        <w:szCs w:val="22"/>
        <w:u w:val="none"/>
        <w:shd w:fill="auto" w:val="clear"/>
        <w:vertAlign w:val="baseline"/>
      </w:rPr>
      <w:drawing>
        <wp:anchor behindDoc="1" distT="0" distB="0" distL="0" distR="0" simplePos="0" locked="0" layoutInCell="1" allowOverlap="1" relativeHeight="184">
          <wp:simplePos x="0" y="0"/>
          <wp:positionH relativeFrom="column">
            <wp:posOffset>4195445</wp:posOffset>
          </wp:positionH>
          <wp:positionV relativeFrom="paragraph">
            <wp:posOffset>-279400</wp:posOffset>
          </wp:positionV>
          <wp:extent cx="1617980" cy="721995"/>
          <wp:effectExtent l="0" t="0" r="0" b="0"/>
          <wp:wrapTopAndBottom/>
          <wp:docPr id="6"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descr=""/>
                  <pic:cNvPicPr>
                    <a:picLocks noChangeAspect="1" noChangeArrowheads="1"/>
                  </pic:cNvPicPr>
                </pic:nvPicPr>
                <pic:blipFill>
                  <a:blip r:embed="rId1"/>
                  <a:srcRect l="-10" t="-28" r="-13" b="-28"/>
                  <a:stretch>
                    <a:fillRect/>
                  </a:stretch>
                </pic:blipFill>
                <pic:spPr bwMode="auto">
                  <a:xfrm>
                    <a:off x="0" y="0"/>
                    <a:ext cx="1617980" cy="72199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decimal"/>
      <w:lvlText w:val="%1."/>
      <w:lvlJc w:val="left"/>
      <w:pPr>
        <w:ind w:left="720" w:hanging="360"/>
      </w:pPr>
      <w:rPr>
        <w:sz w:val="22"/>
        <w:u w:val="none"/>
        <w:b w:val="false"/>
        <w:rFonts w:ascii="Cambria" w:hAnsi="Cambria" w:eastAsia="Cambria" w:cs="Cambria"/>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4">
    <w:lvl w:ilvl="0">
      <w:start w:val="1"/>
      <w:numFmt w:val="bullet"/>
      <w:lvlText w:val="●"/>
      <w:lvlJc w:val="left"/>
      <w:pPr>
        <w:ind w:left="1004" w:hanging="360"/>
      </w:pPr>
      <w:rPr>
        <w:rFonts w:ascii="Noto Sans Symbols" w:hAnsi="Noto Sans Symbols" w:cs="Noto Sans Symbols" w:hint="default"/>
        <w:sz w:val="22"/>
        <w:b w:val="false"/>
        <w:rFonts w:cs="Noto Sans Symbols"/>
      </w:r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5">
    <w:lvl w:ilvl="0">
      <w:start w:val="1"/>
      <w:numFmt w:val="bullet"/>
      <w:lvlText w:val="●"/>
      <w:lvlJc w:val="left"/>
      <w:pPr>
        <w:ind w:left="720" w:hanging="360"/>
      </w:pPr>
      <w:rPr>
        <w:rFonts w:ascii="Noto Sans Symbols" w:hAnsi="Noto Sans Symbols" w:cs="Noto Sans Symbols" w:hint="default"/>
        <w:sz w:val="22"/>
        <w:b w:val="false"/>
        <w:rFonts w:cs="Noto Sans Symbol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Noto Sans Symbols" w:hAnsi="Noto Sans Symbols" w:cs="Noto Sans Symbols" w:hint="default"/>
        <w:rFonts w:cs="Noto Sans Symbols"/>
      </w:rPr>
    </w:lvl>
    <w:lvl w:ilvl="3">
      <w:start w:val="1"/>
      <w:numFmt w:val="bullet"/>
      <w:lvlText w:val="●"/>
      <w:lvlJc w:val="left"/>
      <w:pPr>
        <w:ind w:left="2880" w:hanging="360"/>
      </w:pPr>
      <w:rPr>
        <w:rFonts w:ascii="Noto Sans Symbols" w:hAnsi="Noto Sans Symbols" w:cs="Noto Sans Symbols" w:hint="default"/>
        <w:rFonts w:cs="Noto Sans Symbols"/>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Noto Sans Symbols" w:hAnsi="Noto Sans Symbols" w:cs="Noto Sans Symbols" w:hint="default"/>
        <w:rFonts w:cs="Noto Sans Symbols"/>
      </w:rPr>
    </w:lvl>
    <w:lvl w:ilvl="6">
      <w:start w:val="1"/>
      <w:numFmt w:val="bullet"/>
      <w:lvlText w:val="●"/>
      <w:lvlJc w:val="left"/>
      <w:pPr>
        <w:ind w:left="5040" w:hanging="360"/>
      </w:pPr>
      <w:rPr>
        <w:rFonts w:ascii="Noto Sans Symbols" w:hAnsi="Noto Sans Symbols" w:cs="Noto Sans Symbols" w:hint="default"/>
        <w:rFonts w:cs="Noto Sans Symbols"/>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Noto Sans Symbols" w:hAnsi="Noto Sans Symbols" w:cs="Noto Sans Symbols" w:hint="default"/>
        <w:rFonts w:cs="Noto Sans Symbols"/>
      </w:rPr>
    </w:lvl>
  </w:abstractNum>
  <w:abstractNum w:abstractNumId="6">
    <w:lvl w:ilvl="0">
      <w:start w:val="1"/>
      <w:numFmt w:val="decimal"/>
      <w:lvlText w:val="%1."/>
      <w:lvlJc w:val="left"/>
      <w:pPr>
        <w:ind w:left="720" w:hanging="360"/>
      </w:pPr>
      <w:rPr>
        <w:sz w:val="22"/>
        <w:u w:val="none"/>
        <w:b w:val="false"/>
        <w:rFonts w:ascii="Cambria" w:hAnsi="Cambria" w:eastAsia="Cambria" w:cs="Cambria"/>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1004" w:hanging="360"/>
      </w:pPr>
      <w:rPr>
        <w:rFonts w:ascii="Noto Sans Symbols" w:hAnsi="Noto Sans Symbols" w:cs="Noto Sans Symbols" w:hint="default"/>
        <w:sz w:val="22"/>
        <w:b w:val="false"/>
        <w:rFonts w:cs="Noto Sans Symbols"/>
      </w:rPr>
    </w:lvl>
    <w:lvl w:ilvl="1">
      <w:start w:val="1"/>
      <w:numFmt w:val="bullet"/>
      <w:lvlText w:val="o"/>
      <w:lvlJc w:val="left"/>
      <w:pPr>
        <w:ind w:left="1724" w:hanging="360"/>
      </w:pPr>
      <w:rPr>
        <w:rFonts w:ascii="Courier New" w:hAnsi="Courier New" w:cs="Courier New" w:hint="default"/>
        <w:rFonts w:cs="Courier New"/>
      </w:rPr>
    </w:lvl>
    <w:lvl w:ilvl="2">
      <w:start w:val="1"/>
      <w:numFmt w:val="bullet"/>
      <w:lvlText w:val="▪"/>
      <w:lvlJc w:val="left"/>
      <w:pPr>
        <w:ind w:left="2444" w:hanging="360"/>
      </w:pPr>
      <w:rPr>
        <w:rFonts w:ascii="Noto Sans Symbols" w:hAnsi="Noto Sans Symbols" w:cs="Noto Sans Symbols" w:hint="default"/>
        <w:rFonts w:cs="Noto Sans Symbols"/>
      </w:rPr>
    </w:lvl>
    <w:lvl w:ilvl="3">
      <w:start w:val="1"/>
      <w:numFmt w:val="bullet"/>
      <w:lvlText w:val="●"/>
      <w:lvlJc w:val="left"/>
      <w:pPr>
        <w:ind w:left="3164" w:hanging="360"/>
      </w:pPr>
      <w:rPr>
        <w:rFonts w:ascii="Noto Sans Symbols" w:hAnsi="Noto Sans Symbols" w:cs="Noto Sans Symbols" w:hint="default"/>
        <w:rFonts w:cs="Noto Sans Symbols"/>
      </w:rPr>
    </w:lvl>
    <w:lvl w:ilvl="4">
      <w:start w:val="1"/>
      <w:numFmt w:val="bullet"/>
      <w:lvlText w:val="o"/>
      <w:lvlJc w:val="left"/>
      <w:pPr>
        <w:ind w:left="3884" w:hanging="360"/>
      </w:pPr>
      <w:rPr>
        <w:rFonts w:ascii="Courier New" w:hAnsi="Courier New" w:cs="Courier New" w:hint="default"/>
        <w:rFonts w:cs="Courier New"/>
      </w:rPr>
    </w:lvl>
    <w:lvl w:ilvl="5">
      <w:start w:val="1"/>
      <w:numFmt w:val="bullet"/>
      <w:lvlText w:val="▪"/>
      <w:lvlJc w:val="left"/>
      <w:pPr>
        <w:ind w:left="4604" w:hanging="360"/>
      </w:pPr>
      <w:rPr>
        <w:rFonts w:ascii="Noto Sans Symbols" w:hAnsi="Noto Sans Symbols" w:cs="Noto Sans Symbols" w:hint="default"/>
        <w:rFonts w:cs="Noto Sans Symbols"/>
      </w:rPr>
    </w:lvl>
    <w:lvl w:ilvl="6">
      <w:start w:val="1"/>
      <w:numFmt w:val="bullet"/>
      <w:lvlText w:val="●"/>
      <w:lvlJc w:val="left"/>
      <w:pPr>
        <w:ind w:left="5324" w:hanging="360"/>
      </w:pPr>
      <w:rPr>
        <w:rFonts w:ascii="Noto Sans Symbols" w:hAnsi="Noto Sans Symbols" w:cs="Noto Sans Symbols" w:hint="default"/>
        <w:rFonts w:cs="Noto Sans Symbols"/>
      </w:rPr>
    </w:lvl>
    <w:lvl w:ilvl="7">
      <w:start w:val="1"/>
      <w:numFmt w:val="bullet"/>
      <w:lvlText w:val="o"/>
      <w:lvlJc w:val="left"/>
      <w:pPr>
        <w:ind w:left="6044" w:hanging="360"/>
      </w:pPr>
      <w:rPr>
        <w:rFonts w:ascii="Courier New" w:hAnsi="Courier New" w:cs="Courier New" w:hint="default"/>
        <w:rFonts w:cs="Courier New"/>
      </w:rPr>
    </w:lvl>
    <w:lvl w:ilvl="8">
      <w:start w:val="1"/>
      <w:numFmt w:val="bullet"/>
      <w:lvlText w:val="▪"/>
      <w:lvlJc w:val="left"/>
      <w:pPr>
        <w:ind w:left="6764" w:hanging="360"/>
      </w:pPr>
      <w:rPr>
        <w:rFonts w:ascii="Noto Sans Symbols" w:hAnsi="Noto Sans Symbols" w:cs="Noto Sans Symbols" w:hint="default"/>
        <w:rFonts w:cs="Noto Sans Symbols"/>
      </w:rPr>
    </w:lvl>
  </w:abstractNum>
  <w:abstractNum w:abstractNumId="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lvl w:ilvl="0">
      <w:start w:val="1"/>
      <w:numFmt w:val="lowerLetter"/>
      <w:lvlText w:val="%1)"/>
      <w:lvlJc w:val="left"/>
      <w:pPr>
        <w:ind w:left="720" w:hanging="360"/>
      </w:pPr>
      <w:rPr>
        <w:vertAlign w:val="baseline"/>
        <w:position w:val="0"/>
        <w:sz w:val="22"/>
        <w:sz w:val="22"/>
        <w:b w:val="false"/>
        <w:szCs w:val="22"/>
        <w:rFonts w:ascii="Cambria" w:hAnsi="Cambria" w:eastAsia="Cambria" w:cs="Cambria"/>
      </w:rPr>
    </w:lvl>
    <w:lvl w:ilvl="1">
      <w:start w:val="1"/>
      <w:numFmt w:val="lowerLetter"/>
      <w:lvlText w:val="%2."/>
      <w:lvlJc w:val="left"/>
      <w:pPr>
        <w:ind w:left="1440" w:hanging="360"/>
      </w:pPr>
      <w:rPr>
        <w:vertAlign w:val="baseline"/>
        <w:position w:val="0"/>
        <w:sz w:val="22"/>
        <w:sz w:val="22"/>
        <w:szCs w:val="22"/>
      </w:rPr>
    </w:lvl>
    <w:lvl w:ilvl="2">
      <w:start w:val="1"/>
      <w:numFmt w:val="lowerRoman"/>
      <w:lvlText w:val="%3."/>
      <w:lvlJc w:val="right"/>
      <w:pPr>
        <w:ind w:left="2160" w:hanging="180"/>
      </w:pPr>
      <w:rPr>
        <w:vertAlign w:val="baseline"/>
        <w:position w:val="0"/>
        <w:sz w:val="22"/>
        <w:sz w:val="22"/>
        <w:szCs w:val="22"/>
      </w:rPr>
    </w:lvl>
    <w:lvl w:ilvl="3">
      <w:start w:val="1"/>
      <w:numFmt w:val="decimal"/>
      <w:lvlText w:val="%4."/>
      <w:lvlJc w:val="left"/>
      <w:pPr>
        <w:ind w:left="2880" w:hanging="360"/>
      </w:pPr>
      <w:rPr>
        <w:vertAlign w:val="baseline"/>
        <w:position w:val="0"/>
        <w:sz w:val="22"/>
        <w:sz w:val="22"/>
        <w:szCs w:val="22"/>
      </w:rPr>
    </w:lvl>
    <w:lvl w:ilvl="4">
      <w:start w:val="1"/>
      <w:numFmt w:val="lowerLetter"/>
      <w:lvlText w:val="%5."/>
      <w:lvlJc w:val="left"/>
      <w:pPr>
        <w:ind w:left="3600" w:hanging="360"/>
      </w:pPr>
      <w:rPr>
        <w:vertAlign w:val="baseline"/>
        <w:position w:val="0"/>
        <w:sz w:val="22"/>
        <w:sz w:val="22"/>
        <w:szCs w:val="22"/>
      </w:rPr>
    </w:lvl>
    <w:lvl w:ilvl="5">
      <w:start w:val="1"/>
      <w:numFmt w:val="lowerRoman"/>
      <w:lvlText w:val="%6."/>
      <w:lvlJc w:val="right"/>
      <w:pPr>
        <w:ind w:left="4320" w:hanging="180"/>
      </w:pPr>
      <w:rPr>
        <w:vertAlign w:val="baseline"/>
        <w:position w:val="0"/>
        <w:sz w:val="22"/>
        <w:sz w:val="22"/>
        <w:szCs w:val="22"/>
      </w:rPr>
    </w:lvl>
    <w:lvl w:ilvl="6">
      <w:start w:val="1"/>
      <w:numFmt w:val="decimal"/>
      <w:lvlText w:val="%7."/>
      <w:lvlJc w:val="left"/>
      <w:pPr>
        <w:ind w:left="5040" w:hanging="360"/>
      </w:pPr>
      <w:rPr>
        <w:vertAlign w:val="baseline"/>
        <w:position w:val="0"/>
        <w:sz w:val="22"/>
        <w:sz w:val="22"/>
        <w:szCs w:val="22"/>
      </w:rPr>
    </w:lvl>
    <w:lvl w:ilvl="7">
      <w:start w:val="1"/>
      <w:numFmt w:val="lowerLetter"/>
      <w:lvlText w:val="%8."/>
      <w:lvlJc w:val="left"/>
      <w:pPr>
        <w:ind w:left="5760" w:hanging="360"/>
      </w:pPr>
      <w:rPr>
        <w:vertAlign w:val="baseline"/>
        <w:position w:val="0"/>
        <w:sz w:val="22"/>
        <w:sz w:val="22"/>
        <w:szCs w:val="22"/>
      </w:rPr>
    </w:lvl>
    <w:lvl w:ilvl="8">
      <w:start w:val="1"/>
      <w:numFmt w:val="lowerRoman"/>
      <w:lvlText w:val="%9."/>
      <w:lvlJc w:val="right"/>
      <w:pPr>
        <w:ind w:left="6480" w:hanging="180"/>
      </w:pPr>
      <w:rPr>
        <w:vertAlign w:val="baseline"/>
        <w:position w:val="0"/>
        <w:sz w:val="22"/>
        <w:sz w:val="22"/>
        <w:szCs w:val="22"/>
      </w:rPr>
    </w:lvl>
  </w:abstractNum>
  <w:abstractNum w:abstractNumId="10">
    <w:lvl w:ilvl="0">
      <w:start w:val="1"/>
      <w:numFmt w:val="bullet"/>
      <w:lvlText w:val="●"/>
      <w:lvlJc w:val="left"/>
      <w:pPr>
        <w:ind w:left="720" w:hanging="360"/>
      </w:pPr>
      <w:rPr>
        <w:rFonts w:ascii="Noto Sans Symbols" w:hAnsi="Noto Sans Symbols" w:cs="Noto Sans Symbols" w:hint="default"/>
        <w:sz w:val="22"/>
        <w:b w:val="false"/>
        <w:rFonts w:cs="Noto Sans Symbols"/>
      </w:rPr>
    </w:lvl>
    <w:lvl w:ilvl="1">
      <w:start w:val="1"/>
      <w:numFmt w:val="bullet"/>
      <w:lvlText w:val="o"/>
      <w:lvlJc w:val="left"/>
      <w:pPr>
        <w:ind w:left="1440" w:hanging="360"/>
      </w:pPr>
      <w:rPr>
        <w:rFonts w:ascii="Noto Sans Symbols" w:hAnsi="Noto Sans Symbols" w:cs="Noto Sans Symbols" w:hint="default"/>
        <w:rFonts w:cs="Noto Sans Symbols"/>
      </w:rPr>
    </w:lvl>
    <w:lvl w:ilvl="2">
      <w:start w:val="1"/>
      <w:numFmt w:val="bullet"/>
      <w:lvlText w:val="▪"/>
      <w:lvlJc w:val="left"/>
      <w:pPr>
        <w:ind w:left="2160" w:hanging="360"/>
      </w:pPr>
      <w:rPr>
        <w:rFonts w:ascii="Noto Sans Symbols" w:hAnsi="Noto Sans Symbols" w:cs="Noto Sans Symbols" w:hint="default"/>
        <w:rFonts w:cs="Noto Sans Symbols"/>
      </w:rPr>
    </w:lvl>
    <w:lvl w:ilvl="3">
      <w:start w:val="1"/>
      <w:numFmt w:val="bullet"/>
      <w:lvlText w:val="●"/>
      <w:lvlJc w:val="left"/>
      <w:pPr>
        <w:ind w:left="2880" w:hanging="360"/>
      </w:pPr>
      <w:rPr>
        <w:rFonts w:ascii="Noto Sans Symbols" w:hAnsi="Noto Sans Symbols" w:cs="Noto Sans Symbols" w:hint="default"/>
        <w:rFonts w:cs="Noto Sans Symbols"/>
      </w:rPr>
    </w:lvl>
    <w:lvl w:ilvl="4">
      <w:start w:val="1"/>
      <w:numFmt w:val="bullet"/>
      <w:lvlText w:val="o"/>
      <w:lvlJc w:val="left"/>
      <w:pPr>
        <w:ind w:left="3600" w:hanging="360"/>
      </w:pPr>
      <w:rPr>
        <w:rFonts w:ascii="Noto Sans Symbols" w:hAnsi="Noto Sans Symbols" w:cs="Noto Sans Symbols" w:hint="default"/>
        <w:rFonts w:cs="Noto Sans Symbols"/>
      </w:rPr>
    </w:lvl>
    <w:lvl w:ilvl="5">
      <w:start w:val="1"/>
      <w:numFmt w:val="bullet"/>
      <w:lvlText w:val="▪"/>
      <w:lvlJc w:val="left"/>
      <w:pPr>
        <w:ind w:left="4320" w:hanging="360"/>
      </w:pPr>
      <w:rPr>
        <w:rFonts w:ascii="Noto Sans Symbols" w:hAnsi="Noto Sans Symbols" w:cs="Noto Sans Symbols" w:hint="default"/>
        <w:rFonts w:cs="Noto Sans Symbols"/>
      </w:rPr>
    </w:lvl>
    <w:lvl w:ilvl="6">
      <w:start w:val="1"/>
      <w:numFmt w:val="bullet"/>
      <w:lvlText w:val="●"/>
      <w:lvlJc w:val="left"/>
      <w:pPr>
        <w:ind w:left="5040" w:hanging="360"/>
      </w:pPr>
      <w:rPr>
        <w:rFonts w:ascii="Noto Sans Symbols" w:hAnsi="Noto Sans Symbols" w:cs="Noto Sans Symbols" w:hint="default"/>
        <w:rFonts w:cs="Noto Sans Symbols"/>
      </w:rPr>
    </w:lvl>
    <w:lvl w:ilvl="7">
      <w:start w:val="1"/>
      <w:numFmt w:val="bullet"/>
      <w:lvlText w:val="o"/>
      <w:lvlJc w:val="left"/>
      <w:pPr>
        <w:ind w:left="5760" w:hanging="360"/>
      </w:pPr>
      <w:rPr>
        <w:rFonts w:ascii="Noto Sans Symbols" w:hAnsi="Noto Sans Symbols" w:cs="Noto Sans Symbols" w:hint="default"/>
        <w:rFonts w:cs="Noto Sans Symbols"/>
      </w:rPr>
    </w:lvl>
    <w:lvl w:ilvl="8">
      <w:start w:val="1"/>
      <w:numFmt w:val="bullet"/>
      <w:lvlText w:val="▪"/>
      <w:lvlJc w:val="left"/>
      <w:pPr>
        <w:ind w:left="6480" w:hanging="360"/>
      </w:pPr>
      <w:rPr>
        <w:rFonts w:ascii="Noto Sans Symbols" w:hAnsi="Noto Sans Symbols" w:cs="Noto Sans Symbols" w:hint="default"/>
        <w:rFonts w:cs="Noto Sans Symbols"/>
      </w:rPr>
    </w:lvl>
  </w:abstractNum>
  <w:abstractNum w:abstractNumId="11">
    <w:lvl w:ilvl="0">
      <w:start w:val="1"/>
      <w:numFmt w:val="lowerLetter"/>
      <w:lvlText w:val="%1)"/>
      <w:lvlJc w:val="left"/>
      <w:pPr>
        <w:ind w:left="720" w:hanging="360"/>
      </w:pPr>
      <w:rPr>
        <w:sz w:val="22"/>
        <w:u w:val="none"/>
        <w:b w:val="false"/>
        <w:rFonts w:ascii="Cambria" w:hAnsi="Cambria" w:eastAsia="Cambria" w:cs="Cambria"/>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2">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3">
    <w:lvl w:ilvl="0">
      <w:start w:val="2"/>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4">
    <w:lvl w:ilvl="0">
      <w:start w:val="2"/>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5">
    <w:lvl w:ilvl="0">
      <w:start w:val="3"/>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6">
    <w:lvl w:ilvl="0">
      <w:start w:val="4"/>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7">
    <w:lvl w:ilvl="0">
      <w:start w:val="5"/>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8">
    <w:lvl w:ilvl="0">
      <w:start w:val="1"/>
      <w:numFmt w:val="bullet"/>
      <w:lvlText w:val=""/>
      <w:lvlJc w:val="left"/>
      <w:pPr>
        <w:tabs>
          <w:tab w:val="num" w:pos="567"/>
        </w:tabs>
        <w:ind w:left="567" w:hanging="360"/>
      </w:pPr>
      <w:rPr>
        <w:rFonts w:ascii="Symbol" w:hAnsi="Symbol" w:cs="Symbol" w:hint="default"/>
        <w:rFonts w:cs="OpenSymbol"/>
      </w:rPr>
    </w:lvl>
    <w:lvl w:ilvl="1">
      <w:start w:val="1"/>
      <w:numFmt w:val="bullet"/>
      <w:lvlText w:val="◦"/>
      <w:lvlJc w:val="left"/>
      <w:pPr>
        <w:tabs>
          <w:tab w:val="num" w:pos="927"/>
        </w:tabs>
        <w:ind w:left="927" w:hanging="360"/>
      </w:pPr>
      <w:rPr>
        <w:rFonts w:ascii="OpenSymbol" w:hAnsi="OpenSymbol" w:cs="OpenSymbol" w:hint="default"/>
        <w:rFonts w:cs="OpenSymbol"/>
      </w:rPr>
    </w:lvl>
    <w:lvl w:ilvl="2">
      <w:start w:val="1"/>
      <w:numFmt w:val="bullet"/>
      <w:lvlText w:val="▪"/>
      <w:lvlJc w:val="left"/>
      <w:pPr>
        <w:tabs>
          <w:tab w:val="num" w:pos="1287"/>
        </w:tabs>
        <w:ind w:left="1287" w:hanging="360"/>
      </w:pPr>
      <w:rPr>
        <w:rFonts w:ascii="OpenSymbol" w:hAnsi="OpenSymbol" w:cs="OpenSymbol" w:hint="default"/>
        <w:rFonts w:cs="OpenSymbol"/>
      </w:rPr>
    </w:lvl>
    <w:lvl w:ilvl="3">
      <w:start w:val="1"/>
      <w:numFmt w:val="bullet"/>
      <w:lvlText w:val=""/>
      <w:lvlJc w:val="left"/>
      <w:pPr>
        <w:tabs>
          <w:tab w:val="num" w:pos="1647"/>
        </w:tabs>
        <w:ind w:left="1647" w:hanging="360"/>
      </w:pPr>
      <w:rPr>
        <w:rFonts w:ascii="Symbol" w:hAnsi="Symbol" w:cs="Symbol" w:hint="default"/>
        <w:rFonts w:cs="OpenSymbol"/>
      </w:rPr>
    </w:lvl>
    <w:lvl w:ilvl="4">
      <w:start w:val="1"/>
      <w:numFmt w:val="bullet"/>
      <w:lvlText w:val="◦"/>
      <w:lvlJc w:val="left"/>
      <w:pPr>
        <w:tabs>
          <w:tab w:val="num" w:pos="2007"/>
        </w:tabs>
        <w:ind w:left="2007" w:hanging="360"/>
      </w:pPr>
      <w:rPr>
        <w:rFonts w:ascii="OpenSymbol" w:hAnsi="OpenSymbol" w:cs="OpenSymbol" w:hint="default"/>
        <w:rFonts w:cs="OpenSymbol"/>
      </w:rPr>
    </w:lvl>
    <w:lvl w:ilvl="5">
      <w:start w:val="1"/>
      <w:numFmt w:val="bullet"/>
      <w:lvlText w:val="▪"/>
      <w:lvlJc w:val="left"/>
      <w:pPr>
        <w:tabs>
          <w:tab w:val="num" w:pos="2367"/>
        </w:tabs>
        <w:ind w:left="2367" w:hanging="360"/>
      </w:pPr>
      <w:rPr>
        <w:rFonts w:ascii="OpenSymbol" w:hAnsi="OpenSymbol" w:cs="OpenSymbol" w:hint="default"/>
        <w:rFonts w:cs="OpenSymbol"/>
      </w:rPr>
    </w:lvl>
    <w:lvl w:ilvl="6">
      <w:start w:val="1"/>
      <w:numFmt w:val="bullet"/>
      <w:lvlText w:val=""/>
      <w:lvlJc w:val="left"/>
      <w:pPr>
        <w:tabs>
          <w:tab w:val="num" w:pos="2727"/>
        </w:tabs>
        <w:ind w:left="2727" w:hanging="360"/>
      </w:pPr>
      <w:rPr>
        <w:rFonts w:ascii="Symbol" w:hAnsi="Symbol" w:cs="Symbol" w:hint="default"/>
        <w:rFonts w:cs="OpenSymbol"/>
      </w:rPr>
    </w:lvl>
    <w:lvl w:ilvl="7">
      <w:start w:val="1"/>
      <w:numFmt w:val="bullet"/>
      <w:lvlText w:val="◦"/>
      <w:lvlJc w:val="left"/>
      <w:pPr>
        <w:tabs>
          <w:tab w:val="num" w:pos="3087"/>
        </w:tabs>
        <w:ind w:left="3087" w:hanging="360"/>
      </w:pPr>
      <w:rPr>
        <w:rFonts w:ascii="OpenSymbol" w:hAnsi="OpenSymbol" w:cs="OpenSymbol" w:hint="default"/>
        <w:rFonts w:cs="OpenSymbol"/>
      </w:rPr>
    </w:lvl>
    <w:lvl w:ilvl="8">
      <w:start w:val="1"/>
      <w:numFmt w:val="bullet"/>
      <w:lvlText w:val="▪"/>
      <w:lvlJc w:val="left"/>
      <w:pPr>
        <w:tabs>
          <w:tab w:val="num" w:pos="3447"/>
        </w:tabs>
        <w:ind w:left="3447" w:hanging="360"/>
      </w:pPr>
      <w:rPr>
        <w:rFonts w:ascii="OpenSymbol" w:hAnsi="OpenSymbol" w:cs="OpenSymbol" w:hint="default"/>
        <w:rFonts w:cs="OpenSymbol"/>
      </w:rPr>
    </w:lvl>
  </w:abstractNum>
  <w:abstractNum w:abstractNumId="19">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w="http://schemas.openxmlformats.org/wordprocessingml/2006/main">
  <w:zoom w:percent="100"/>
  <w:defaultTabStop w:val="720"/>
  <w:footnotePr>
    <w:numFmt w:val="decimal"/>
    <w:footnote w:id="0"/>
    <w:footnote w:id="1"/>
  </w:footnotePr>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color w:val="00000A"/>
        <w:sz w:val="22"/>
        <w:szCs w:val="22"/>
        <w:lang w:val="es" w:eastAsia="zh-CN" w:bidi="hi-IN"/>
      </w:rPr>
    </w:rPrDefault>
    <w:pPrDefault>
      <w:pPr/>
    </w:pPrDefault>
  </w:docDefaults>
  <w:style w:type="paragraph" w:styleId="Normal">
    <w:name w:val="Normal"/>
    <w:qFormat/>
    <w:pPr>
      <w:widowControl/>
      <w:bidi w:val="0"/>
      <w:spacing w:lineRule="auto" w:line="276" w:before="0" w:after="200"/>
      <w:jc w:val="left"/>
    </w:pPr>
    <w:rPr>
      <w:rFonts w:ascii="Calibri" w:hAnsi="Calibri" w:eastAsia="Calibri" w:cs="Calibri"/>
      <w:color w:val="00000A"/>
      <w:kern w:val="0"/>
      <w:sz w:val="22"/>
      <w:szCs w:val="22"/>
      <w:lang w:val="es" w:eastAsia="zh-CN" w:bidi="hi-IN"/>
    </w:rPr>
  </w:style>
  <w:style w:type="paragraph" w:styleId="Ttulo1">
    <w:name w:val="Heading 1"/>
    <w:basedOn w:val="Normal1"/>
    <w:next w:val="Normal1"/>
    <w:qFormat/>
    <w:pPr>
      <w:keepNext w:val="true"/>
      <w:keepLines/>
      <w:pageBreakBefore w:val="false"/>
      <w:widowControl/>
      <w:pBdr/>
      <w:shd w:val="clear" w:fill="auto"/>
      <w:spacing w:lineRule="auto" w:line="276" w:before="480" w:after="120"/>
      <w:ind w:left="0" w:right="0" w:hanging="0"/>
      <w:jc w:val="left"/>
    </w:pPr>
    <w:rPr>
      <w:rFonts w:ascii="Calibri" w:hAnsi="Calibri" w:eastAsia="Calibri" w:cs="Calibri"/>
      <w:b/>
      <w:i w:val="false"/>
      <w:caps w:val="false"/>
      <w:smallCaps w:val="false"/>
      <w:strike w:val="false"/>
      <w:dstrike w:val="false"/>
      <w:color w:val="00000A"/>
      <w:position w:val="0"/>
      <w:sz w:val="48"/>
      <w:sz w:val="48"/>
      <w:szCs w:val="48"/>
      <w:u w:val="none"/>
      <w:shd w:fill="auto" w:val="clear"/>
      <w:vertAlign w:val="baseline"/>
    </w:rPr>
  </w:style>
  <w:style w:type="paragraph" w:styleId="Ttulo2">
    <w:name w:val="Heading 2"/>
    <w:basedOn w:val="Normal1"/>
    <w:next w:val="Normal1"/>
    <w:qFormat/>
    <w:pPr>
      <w:keepNext w:val="true"/>
      <w:keepLines/>
      <w:pageBreakBefore w:val="false"/>
      <w:widowControl/>
      <w:pBdr/>
      <w:shd w:val="clear" w:fill="auto"/>
      <w:spacing w:lineRule="auto" w:line="276" w:before="360" w:after="80"/>
      <w:ind w:left="0" w:right="0" w:hanging="0"/>
      <w:jc w:val="left"/>
    </w:pPr>
    <w:rPr>
      <w:rFonts w:ascii="Calibri" w:hAnsi="Calibri" w:eastAsia="Calibri" w:cs="Calibri"/>
      <w:b/>
      <w:i w:val="false"/>
      <w:caps w:val="false"/>
      <w:smallCaps w:val="false"/>
      <w:strike w:val="false"/>
      <w:dstrike w:val="false"/>
      <w:color w:val="00000A"/>
      <w:position w:val="0"/>
      <w:sz w:val="36"/>
      <w:sz w:val="36"/>
      <w:szCs w:val="36"/>
      <w:u w:val="none"/>
      <w:shd w:fill="auto" w:val="clear"/>
      <w:vertAlign w:val="baseline"/>
    </w:rPr>
  </w:style>
  <w:style w:type="paragraph" w:styleId="Ttulo3">
    <w:name w:val="Heading 3"/>
    <w:basedOn w:val="Normal1"/>
    <w:next w:val="Normal1"/>
    <w:qFormat/>
    <w:pPr>
      <w:keepNext w:val="true"/>
      <w:keepLines/>
      <w:pageBreakBefore w:val="false"/>
      <w:widowControl/>
      <w:pBdr/>
      <w:shd w:val="clear" w:fill="auto"/>
      <w:spacing w:lineRule="auto" w:line="276" w:before="280" w:after="80"/>
      <w:ind w:left="0" w:right="0" w:hanging="0"/>
      <w:jc w:val="left"/>
    </w:pPr>
    <w:rPr>
      <w:rFonts w:ascii="Calibri" w:hAnsi="Calibri" w:eastAsia="Calibri" w:cs="Calibri"/>
      <w:b/>
      <w:i w:val="false"/>
      <w:caps w:val="false"/>
      <w:smallCaps w:val="false"/>
      <w:strike w:val="false"/>
      <w:dstrike w:val="false"/>
      <w:color w:val="00000A"/>
      <w:position w:val="0"/>
      <w:sz w:val="28"/>
      <w:sz w:val="28"/>
      <w:szCs w:val="28"/>
      <w:u w:val="none"/>
      <w:shd w:fill="auto" w:val="clear"/>
      <w:vertAlign w:val="baseline"/>
    </w:rPr>
  </w:style>
  <w:style w:type="paragraph" w:styleId="Ttulo4">
    <w:name w:val="Heading 4"/>
    <w:basedOn w:val="Normal1"/>
    <w:next w:val="Normal1"/>
    <w:qFormat/>
    <w:pPr>
      <w:keepNext w:val="true"/>
      <w:keepLines/>
      <w:pageBreakBefore w:val="false"/>
      <w:widowControl/>
      <w:pBdr/>
      <w:shd w:val="clear" w:fill="auto"/>
      <w:spacing w:lineRule="auto" w:line="276" w:before="240" w:after="40"/>
      <w:ind w:left="0" w:right="0" w:hanging="0"/>
      <w:jc w:val="left"/>
    </w:pPr>
    <w:rPr>
      <w:rFonts w:ascii="Calibri" w:hAnsi="Calibri" w:eastAsia="Calibri" w:cs="Calibri"/>
      <w:b/>
      <w:i w:val="false"/>
      <w:caps w:val="false"/>
      <w:smallCaps w:val="false"/>
      <w:strike w:val="false"/>
      <w:dstrike w:val="false"/>
      <w:color w:val="00000A"/>
      <w:position w:val="0"/>
      <w:sz w:val="24"/>
      <w:sz w:val="24"/>
      <w:szCs w:val="24"/>
      <w:u w:val="none"/>
      <w:shd w:fill="auto" w:val="clear"/>
      <w:vertAlign w:val="baseline"/>
    </w:rPr>
  </w:style>
  <w:style w:type="paragraph" w:styleId="Ttulo5">
    <w:name w:val="Heading 5"/>
    <w:basedOn w:val="Normal1"/>
    <w:next w:val="Normal1"/>
    <w:qFormat/>
    <w:pPr>
      <w:keepNext w:val="true"/>
      <w:keepLines/>
      <w:pageBreakBefore w:val="false"/>
      <w:widowControl/>
      <w:pBdr/>
      <w:shd w:val="clear" w:fill="auto"/>
      <w:spacing w:lineRule="auto" w:line="276" w:before="220" w:after="40"/>
      <w:ind w:left="0" w:right="0" w:hanging="0"/>
      <w:jc w:val="left"/>
    </w:pPr>
    <w:rPr>
      <w:rFonts w:ascii="Calibri" w:hAnsi="Calibri" w:eastAsia="Calibri" w:cs="Calibri"/>
      <w:b/>
      <w:i w:val="false"/>
      <w:caps w:val="false"/>
      <w:smallCaps w:val="false"/>
      <w:strike w:val="false"/>
      <w:dstrike w:val="false"/>
      <w:color w:val="00000A"/>
      <w:position w:val="0"/>
      <w:sz w:val="22"/>
      <w:sz w:val="22"/>
      <w:szCs w:val="22"/>
      <w:u w:val="none"/>
      <w:shd w:fill="auto" w:val="clear"/>
      <w:vertAlign w:val="baseline"/>
    </w:rPr>
  </w:style>
  <w:style w:type="paragraph" w:styleId="Ttulo6">
    <w:name w:val="Heading 6"/>
    <w:basedOn w:val="Normal1"/>
    <w:next w:val="Normal1"/>
    <w:qFormat/>
    <w:pPr>
      <w:keepNext w:val="true"/>
      <w:keepLines/>
      <w:pageBreakBefore w:val="false"/>
      <w:widowControl/>
      <w:pBdr/>
      <w:shd w:val="clear" w:fill="auto"/>
      <w:spacing w:lineRule="auto" w:line="276" w:before="200" w:after="40"/>
      <w:ind w:left="0" w:right="0" w:hanging="0"/>
      <w:jc w:val="left"/>
    </w:pPr>
    <w:rPr>
      <w:rFonts w:ascii="Calibri" w:hAnsi="Calibri" w:eastAsia="Calibri" w:cs="Calibri"/>
      <w:b/>
      <w:i w:val="false"/>
      <w:caps w:val="false"/>
      <w:smallCaps w:val="false"/>
      <w:strike w:val="false"/>
      <w:dstrike w:val="false"/>
      <w:color w:val="00000A"/>
      <w:position w:val="0"/>
      <w:sz w:val="20"/>
      <w:sz w:val="20"/>
      <w:szCs w:val="20"/>
      <w:u w:val="none"/>
      <w:shd w:fill="auto" w:val="clear"/>
      <w:vertAlign w:val="baseline"/>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link w:val="Encabezado"/>
    <w:uiPriority w:val="99"/>
    <w:qFormat/>
    <w:rsid w:val="0087523a"/>
    <w:rPr/>
  </w:style>
  <w:style w:type="character" w:styleId="PiedepginaCar" w:customStyle="1">
    <w:name w:val="Pie de página Car"/>
    <w:basedOn w:val="DefaultParagraphFont"/>
    <w:link w:val="Piedepgina"/>
    <w:uiPriority w:val="99"/>
    <w:qFormat/>
    <w:rsid w:val="0087523a"/>
    <w:rPr/>
  </w:style>
  <w:style w:type="character" w:styleId="Pagenumber">
    <w:name w:val="page number"/>
    <w:basedOn w:val="DefaultParagraphFont"/>
    <w:uiPriority w:val="99"/>
    <w:qFormat/>
    <w:rsid w:val="009c33ec"/>
    <w:rPr/>
  </w:style>
  <w:style w:type="character" w:styleId="Caracteresdenotaalpie">
    <w:name w:val="Caracteres de nota al pie"/>
    <w:qFormat/>
    <w:rPr/>
  </w:style>
  <w:style w:type="character" w:styleId="Ancladenotaalpie">
    <w:name w:val="Ancla de nota al pie"/>
    <w:rPr>
      <w:vertAlign w:val="superscript"/>
    </w:rPr>
  </w:style>
  <w:style w:type="character" w:styleId="EnlacedeInternet">
    <w:name w:val="Enlace de Internet"/>
    <w:rPr>
      <w:color w:val="000080"/>
      <w:u w:val="single"/>
    </w:rPr>
  </w:style>
  <w:style w:type="character" w:styleId="Vietas">
    <w:name w:val="Viñetas"/>
    <w:qFormat/>
    <w:rPr>
      <w:rFonts w:ascii="OpenSymbol" w:hAnsi="OpenSymbol" w:eastAsia="OpenSymbol" w:cs="OpenSymbol"/>
    </w:rPr>
  </w:style>
  <w:style w:type="character" w:styleId="Ancladenotafinal">
    <w:name w:val="Ancla de nota final"/>
    <w:rPr>
      <w:vertAlign w:val="superscript"/>
    </w:rPr>
  </w:style>
  <w:style w:type="character" w:styleId="Caracteresdenotafinal">
    <w:name w:val="Caracteres de nota final"/>
    <w:qFormat/>
    <w:rPr/>
  </w:style>
  <w:style w:type="paragraph" w:styleId="Ttulo">
    <w:name w:val="Título"/>
    <w:basedOn w:val="Normal"/>
    <w:next w:val="Cuerpodetexto"/>
    <w:qFormat/>
    <w:pPr>
      <w:keepNext w:val="true"/>
      <w:spacing w:before="240" w:after="120"/>
    </w:pPr>
    <w:rPr>
      <w:rFonts w:ascii="Liberation Sans" w:hAnsi="Liberation Sans" w:eastAsia="Microsoft YaHei" w:cs="Lucida Sans"/>
      <w:sz w:val="28"/>
      <w:szCs w:val="28"/>
    </w:rPr>
  </w:style>
  <w:style w:type="paragraph" w:styleId="Cuerpodetexto">
    <w:name w:val="Body Text"/>
    <w:basedOn w:val="LOnormal"/>
    <w:pPr>
      <w:spacing w:before="0" w:after="140"/>
    </w:pPr>
    <w:rPr/>
  </w:style>
  <w:style w:type="paragraph" w:styleId="Lista">
    <w:name w:val="List"/>
    <w:basedOn w:val="Cuerpodetexto"/>
    <w:pPr/>
    <w:rPr>
      <w:rFonts w:cs="Lucida Sans"/>
    </w:rPr>
  </w:style>
  <w:style w:type="paragraph" w:styleId="Leyenda">
    <w:name w:val="Caption"/>
    <w:basedOn w:val="Normal"/>
    <w:qFormat/>
    <w:pPr>
      <w:suppressLineNumbers/>
      <w:spacing w:before="120" w:after="120"/>
    </w:pPr>
    <w:rPr>
      <w:rFonts w:cs="Lucida Sans"/>
      <w:i/>
      <w:iCs/>
      <w:sz w:val="24"/>
      <w:szCs w:val="24"/>
    </w:rPr>
  </w:style>
  <w:style w:type="paragraph" w:styleId="Ndice" w:customStyle="1">
    <w:name w:val="Índice"/>
    <w:basedOn w:val="LOnormal"/>
    <w:qFormat/>
    <w:pPr>
      <w:suppressLineNumbers/>
    </w:pPr>
    <w:rPr>
      <w:rFonts w:cs="Lucida Sans"/>
    </w:rPr>
  </w:style>
  <w:style w:type="paragraph" w:styleId="Normal1" w:default="1">
    <w:name w:val="LO-normal1"/>
    <w:qFormat/>
    <w:pPr>
      <w:widowControl/>
      <w:bidi w:val="0"/>
      <w:spacing w:lineRule="auto" w:line="276" w:before="0" w:after="200"/>
      <w:jc w:val="left"/>
    </w:pPr>
    <w:rPr>
      <w:rFonts w:ascii="Calibri" w:hAnsi="Calibri" w:eastAsia="Calibri" w:cs="Calibri"/>
      <w:color w:val="00000A"/>
      <w:kern w:val="0"/>
      <w:sz w:val="22"/>
      <w:szCs w:val="22"/>
      <w:lang w:val="es" w:eastAsia="zh-CN" w:bidi="hi-IN"/>
    </w:rPr>
  </w:style>
  <w:style w:type="paragraph" w:styleId="Titular">
    <w:name w:val="Title"/>
    <w:basedOn w:val="Normal1"/>
    <w:next w:val="Normal1"/>
    <w:qFormat/>
    <w:pPr>
      <w:keepNext w:val="true"/>
      <w:keepLines w:val="false"/>
      <w:pageBreakBefore w:val="false"/>
      <w:widowControl/>
      <w:pBdr/>
      <w:shd w:val="clear" w:fill="auto"/>
      <w:spacing w:lineRule="auto" w:line="276" w:before="240" w:after="120"/>
      <w:ind w:left="0" w:right="0" w:hanging="0"/>
      <w:jc w:val="left"/>
    </w:pPr>
    <w:rPr>
      <w:rFonts w:ascii="Liberation Sans" w:hAnsi="Liberation Sans" w:eastAsia="Liberation Sans" w:cs="Liberation Sans"/>
      <w:b w:val="false"/>
      <w:i w:val="false"/>
      <w:caps w:val="false"/>
      <w:smallCaps w:val="false"/>
      <w:strike w:val="false"/>
      <w:dstrike w:val="false"/>
      <w:color w:val="00000A"/>
      <w:position w:val="0"/>
      <w:sz w:val="28"/>
      <w:sz w:val="28"/>
      <w:szCs w:val="28"/>
      <w:u w:val="none"/>
      <w:shd w:fill="auto" w:val="clear"/>
      <w:vertAlign w:val="baseline"/>
    </w:rPr>
  </w:style>
  <w:style w:type="paragraph" w:styleId="Caption">
    <w:name w:val="caption"/>
    <w:basedOn w:val="LOnormal"/>
    <w:qFormat/>
    <w:pPr>
      <w:suppressLineNumbers/>
      <w:spacing w:before="120" w:after="120"/>
    </w:pPr>
    <w:rPr>
      <w:rFonts w:cs="Lucida Sans"/>
      <w:i/>
      <w:iCs/>
      <w:sz w:val="24"/>
      <w:szCs w:val="24"/>
    </w:rPr>
  </w:style>
  <w:style w:type="paragraph" w:styleId="LOnormal" w:customStyle="1">
    <w:name w:val="LO-normal"/>
    <w:qFormat/>
    <w:pPr>
      <w:widowControl/>
      <w:suppressAutoHyphens w:val="true"/>
      <w:bidi w:val="0"/>
      <w:spacing w:lineRule="auto" w:line="276" w:before="0" w:after="200"/>
      <w:jc w:val="left"/>
    </w:pPr>
    <w:rPr>
      <w:rFonts w:ascii="Calibri" w:hAnsi="Calibri" w:eastAsia="Calibri" w:cs="Calibri"/>
      <w:color w:val="00000A"/>
      <w:kern w:val="0"/>
      <w:sz w:val="22"/>
      <w:szCs w:val="22"/>
      <w:lang w:val="es" w:eastAsia="zh-CN" w:bidi="hi-IN"/>
    </w:rPr>
  </w:style>
  <w:style w:type="paragraph" w:styleId="Cabeceraypie" w:customStyle="1">
    <w:name w:val="Cabecera y pie"/>
    <w:basedOn w:val="LOnormal"/>
    <w:qFormat/>
    <w:pPr/>
    <w:rPr/>
  </w:style>
  <w:style w:type="paragraph" w:styleId="Cabecera">
    <w:name w:val="Header"/>
    <w:basedOn w:val="LOnormal"/>
    <w:link w:val="EncabezadoCar"/>
    <w:uiPriority w:val="99"/>
    <w:unhideWhenUsed/>
    <w:rsid w:val="0087523a"/>
    <w:pPr>
      <w:tabs>
        <w:tab w:val="clear" w:pos="720"/>
        <w:tab w:val="center" w:pos="4252" w:leader="none"/>
        <w:tab w:val="right" w:pos="8504" w:leader="none"/>
      </w:tabs>
      <w:spacing w:lineRule="auto" w:line="240" w:before="0" w:after="0"/>
    </w:pPr>
    <w:rPr/>
  </w:style>
  <w:style w:type="paragraph" w:styleId="Piedepgina">
    <w:name w:val="Footer"/>
    <w:basedOn w:val="LOnormal"/>
    <w:link w:val="PiedepginaCar"/>
    <w:uiPriority w:val="99"/>
    <w:unhideWhenUsed/>
    <w:rsid w:val="0087523a"/>
    <w:pPr>
      <w:tabs>
        <w:tab w:val="clear" w:pos="720"/>
        <w:tab w:val="center" w:pos="4252" w:leader="none"/>
        <w:tab w:val="right" w:pos="8504" w:leader="none"/>
      </w:tabs>
      <w:spacing w:lineRule="auto" w:line="240" w:before="0" w:after="0"/>
    </w:pPr>
    <w:rPr/>
  </w:style>
  <w:style w:type="paragraph" w:styleId="Organization" w:customStyle="1">
    <w:name w:val="Organization"/>
    <w:basedOn w:val="LOnormal"/>
    <w:uiPriority w:val="5"/>
    <w:qFormat/>
    <w:rsid w:val="009c33ec"/>
    <w:pPr>
      <w:spacing w:lineRule="auto" w:line="240" w:before="20" w:after="40"/>
    </w:pPr>
    <w:rPr>
      <w:rFonts w:ascii="Cambria" w:hAnsi="Cambria" w:eastAsia="" w:cs="" w:asciiTheme="majorHAnsi" w:cstheme="majorBidi" w:eastAsiaTheme="majorEastAsia" w:hAnsiTheme="majorHAnsi"/>
      <w:b/>
      <w:bCs/>
      <w:caps/>
      <w:color w:val="365F91" w:themeColor="accent1" w:themeShade="bf"/>
      <w:lang w:val="en-US" w:eastAsia="ja-JP"/>
    </w:rPr>
  </w:style>
  <w:style w:type="paragraph" w:styleId="ListParagraph">
    <w:name w:val="List Paragraph"/>
    <w:basedOn w:val="Normal1"/>
    <w:uiPriority w:val="34"/>
    <w:qFormat/>
    <w:rsid w:val="00e925a1"/>
    <w:pPr>
      <w:spacing w:before="0" w:after="200"/>
      <w:ind w:left="720" w:hanging="0"/>
      <w:contextualSpacing/>
    </w:pPr>
    <w:rPr/>
  </w:style>
  <w:style w:type="paragraph" w:styleId="Subttulo">
    <w:name w:val="Subtitle"/>
    <w:basedOn w:val="Normal1"/>
    <w:next w:val="Normal1"/>
    <w:qFormat/>
    <w:pPr>
      <w:keepNext w:val="true"/>
      <w:keepLines/>
      <w:pageBreakBefore w:val="false"/>
      <w:widowControl/>
      <w:pBdr/>
      <w:shd w:val="clear" w:fill="auto"/>
      <w:spacing w:lineRule="auto" w:line="240" w:before="360" w:after="80"/>
      <w:ind w:left="0" w:right="0" w:hanging="0"/>
      <w:jc w:val="left"/>
    </w:pPr>
    <w:rPr>
      <w:rFonts w:ascii="Georgia" w:hAnsi="Georgia" w:eastAsia="Georgia" w:cs="Georgia"/>
      <w:b w:val="false"/>
      <w:i/>
      <w:caps w:val="false"/>
      <w:smallCaps w:val="false"/>
      <w:strike w:val="false"/>
      <w:dstrike w:val="false"/>
      <w:color w:val="666666"/>
      <w:position w:val="0"/>
      <w:sz w:val="48"/>
      <w:sz w:val="48"/>
      <w:szCs w:val="48"/>
      <w:u w:val="none"/>
      <w:shd w:fill="auto" w:val="clear"/>
      <w:vertAlign w:val="baseline"/>
    </w:rPr>
  </w:style>
  <w:style w:type="paragraph" w:styleId="DC1">
    <w:name w:val="DC1"/>
    <w:basedOn w:val="Lista"/>
    <w:qFormat/>
    <w:pPr>
      <w:tabs>
        <w:tab w:val="clear" w:pos="720"/>
        <w:tab w:val="left" w:pos="227" w:leader="none"/>
      </w:tabs>
      <w:spacing w:lineRule="auto" w:line="240" w:before="0" w:after="0"/>
      <w:contextualSpacing/>
      <w:jc w:val="center"/>
    </w:pPr>
    <w:rPr>
      <w:rFonts w:ascii="Calibri" w:hAnsi="Calibri" w:eastAsia="Calibri" w:cs="" w:asciiTheme="minorHAnsi" w:cstheme="minorBidi" w:eastAsiaTheme="minorHAnsi" w:hAnsiTheme="minorHAnsi"/>
      <w:color w:val="auto"/>
      <w:sz w:val="18"/>
      <w:szCs w:val="18"/>
      <w:lang w:eastAsia="en-US"/>
    </w:rPr>
  </w:style>
  <w:style w:type="paragraph" w:styleId="Contenidodelatabla">
    <w:name w:val="Contenido de la tabla"/>
    <w:basedOn w:val="Normal"/>
    <w:qFormat/>
    <w:pPr>
      <w:suppressLineNumbers/>
    </w:pPr>
    <w:rPr/>
  </w:style>
  <w:style w:type="paragraph" w:styleId="Estiloparrafos">
    <w:name w:val="Estilo_parrafos"/>
    <w:basedOn w:val="Normal"/>
    <w:qFormat/>
    <w:pPr>
      <w:bidi w:val="0"/>
      <w:jc w:val="both"/>
    </w:pPr>
    <w:rPr>
      <w:rFonts w:ascii="Verdana" w:hAnsi="Verdana"/>
      <w:sz w:val="20"/>
      <w:szCs w:val="20"/>
    </w:rPr>
  </w:style>
  <w:style w:type="paragraph" w:styleId="Notaalpie">
    <w:name w:val="Footnote Text"/>
    <w:basedOn w:val="Normal"/>
    <w:pPr>
      <w:suppressLineNumbers/>
      <w:ind w:left="339" w:hanging="339"/>
    </w:pPr>
    <w:rPr>
      <w:sz w:val="20"/>
      <w:szCs w:val="20"/>
    </w:rPr>
  </w:style>
  <w:style w:type="paragraph" w:styleId="NormalWeb">
    <w:name w:val="Normal (Web)"/>
    <w:basedOn w:val="Normal"/>
    <w:qFormat/>
    <w:pPr>
      <w:spacing w:lineRule="auto" w:line="240" w:beforeAutospacing="1" w:afterAutospacing="1"/>
    </w:pPr>
    <w:rPr>
      <w:rFonts w:ascii="Times New Roman" w:hAnsi="Times New Roman" w:eastAsia="Times New Roman" w:cs="Times New Roman"/>
      <w:sz w:val="24"/>
      <w:szCs w:val="24"/>
    </w:rPr>
  </w:style>
  <w:style w:type="numbering" w:styleId="NoList" w:default="1">
    <w:name w:val="No List"/>
    <w:uiPriority w:val="99"/>
    <w:semiHidden/>
    <w:unhideWhenUsed/>
    <w:qFormat/>
  </w:style>
  <w:style w:type="table" w:default="1" w:styleId="TableNormal">
    <w:name w:val="TableNormal"/>
    <w:tblPr>
      <w:tblCellMar>
        <w:top w:w="100" w:type="dxa"/>
        <w:left w:w="100" w:type="dxa"/>
        <w:bottom w:w="100" w:type="dxa"/>
        <w:right w:w="100" w:type="dxa"/>
      </w:tblCellMar>
    </w:tblPr>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Sombreadoclaro-nfasis11">
    <w:name w:val="Sombreado claro - Énfasis 11"/>
    <w:basedOn w:val="Tablanormal"/>
    <w:uiPriority w:val="60"/>
    <w:rsid w:val="0087523a"/>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sz="0" w:space="0"/>
          <w:bottom w:val="single" w:color="4F81BD" w:themeColor="accent1" w:sz="8" w:space="0"/>
          <w:right w:val="nil" w:sz="0" w:space="0"/>
          <w:insideH w:val="nil" w:sz="0" w:space="0"/>
          <w:insideV w:val="nil" w:sz="0" w:space="0"/>
        </w:tcBorders>
      </w:tcPr>
    </w:tblStylePr>
    <w:tblStylePr w:type="lastRow">
      <w:pPr>
        <w:spacing w:before="0" w:after="0" w:line="240" w:lineRule="auto"/>
      </w:pPr>
      <w:rPr>
        <w:b/>
        <w:bCs/>
      </w:rPr>
      <w:tblPr/>
      <w:tcPr>
        <w:tcBorders>
          <w:top w:val="single" w:color="4F81BD" w:themeColor="accent1" w:sz="8" w:space="0"/>
          <w:left w:val="nil" w:sz="0" w:space="0"/>
          <w:bottom w:val="single" w:color="4F81BD" w:themeColor="accent1" w:sz="8" w:space="0"/>
          <w:right w:val="nil" w:sz="0" w:space="0"/>
          <w:insideH w:val="nil" w:sz="0" w:space="0"/>
          <w:insideV w:val="nil" w:sz="0" w:space="0"/>
        </w:tcBorders>
      </w:tcPr>
    </w:tblStylePr>
    <w:tblStylePr w:type="firstCol">
      <w:rPr>
        <w:b/>
        <w:bCs/>
      </w:rPr>
      <w:tblPr/>
    </w:tblStylePr>
    <w:tblStylePr w:type="lastCol">
      <w:rPr>
        <w:b/>
        <w:bCs/>
      </w:rPr>
      <w:tblPr/>
    </w:tblStylePr>
    <w:tblStylePr w:type="band1Vert">
      <w:tblPr/>
      <w:tcPr>
        <w:tcBorders>
          <w:left w:val="nil" w:sz="0" w:space="0"/>
          <w:right w:val="nil" w:sz="0" w:space="0"/>
          <w:insideH w:val="nil" w:sz="0" w:space="0"/>
          <w:insideV w:val="nil" w:sz="0" w:space="0"/>
        </w:tcBorders>
        <w:shd w:val="clear" w:color="auto" w:fill="D3DFEE" w:themeFill="accent1" w:themeFillTint="3f"/>
      </w:tcPr>
    </w:tblStylePr>
    <w:tblStylePr w:type="band1Horz">
      <w:tblPr/>
      <w:tcPr>
        <w:tcBorders>
          <w:left w:val="nil" w:sz="0" w:space="0"/>
          <w:right w:val="nil" w:sz="0" w:space="0"/>
          <w:insideH w:val="nil" w:sz="0" w:space="0"/>
          <w:insideV w:val="nil" w:sz="0" w:space="0"/>
        </w:tcBorders>
        <w:shd w:val="clear" w:color="auto" w:fill="D3DFEE" w:themeFill="accent1" w:themeFillTint="3f"/>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header" Target="header2.xml"/><Relationship Id="rId5" Type="http://schemas.openxmlformats.org/officeDocument/2006/relationships/footer" Target="footer2.xml"/><Relationship Id="rId6" Type="http://schemas.openxmlformats.org/officeDocument/2006/relationships/header" Target="header3.xml"/><Relationship Id="rId7" Type="http://schemas.openxmlformats.org/officeDocument/2006/relationships/footer" Target="footer3.xml"/><Relationship Id="rId8" Type="http://schemas.openxmlformats.org/officeDocument/2006/relationships/header" Target="header4.xml"/><Relationship Id="rId9" Type="http://schemas.openxmlformats.org/officeDocument/2006/relationships/footer" Target="footer4.xml"/><Relationship Id="rId10" Type="http://schemas.openxmlformats.org/officeDocument/2006/relationships/hyperlink" Target="https://educa.aragon.es/documents/20126/2789392/BOE-A-2022-5521.pdf/16c5603a-6211-9f80-1bb7-a435c915f87a?t=1661776006847" TargetMode="External"/><Relationship Id="rId11" Type="http://schemas.openxmlformats.org/officeDocument/2006/relationships/header" Target="header5.xml"/><Relationship Id="rId12" Type="http://schemas.openxmlformats.org/officeDocument/2006/relationships/footer" Target="footer5.xml"/><Relationship Id="rId13" Type="http://schemas.openxmlformats.org/officeDocument/2006/relationships/header" Target="header6.xml"/><Relationship Id="rId14" Type="http://schemas.openxmlformats.org/officeDocument/2006/relationships/footer" Target="footer6.xml"/><Relationship Id="rId15" Type="http://schemas.openxmlformats.org/officeDocument/2006/relationships/footnotes" Target="footnotes.xml"/><Relationship Id="rId16" Type="http://schemas.openxmlformats.org/officeDocument/2006/relationships/numbering" Target="numbering.xml"/><Relationship Id="rId17" Type="http://schemas.openxmlformats.org/officeDocument/2006/relationships/fontTable" Target="fontTable.xml"/><Relationship Id="rId18" Type="http://schemas.openxmlformats.org/officeDocument/2006/relationships/settings" Target="settings.xml"/><Relationship Id="rId19" Type="http://schemas.openxmlformats.org/officeDocument/2006/relationships/theme" Target="theme/theme1.xml"/><Relationship Id="rId2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_rels/header2.xml.rels><?xml version="1.0" encoding="UTF-8"?>
<Relationships xmlns="http://schemas.openxmlformats.org/package/2006/relationships"><Relationship Id="rId1"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3.png"/>
</Relationships>
</file>

<file path=word/_rels/header4.xml.rels><?xml version="1.0" encoding="UTF-8"?>
<Relationships xmlns="http://schemas.openxmlformats.org/package/2006/relationships"><Relationship Id="rId1" Type="http://schemas.openxmlformats.org/officeDocument/2006/relationships/image" Target="media/image4.png"/>
</Relationships>
</file>

<file path=word/_rels/header5.xml.rels><?xml version="1.0" encoding="UTF-8"?>
<Relationships xmlns="http://schemas.openxmlformats.org/package/2006/relationships"><Relationship Id="rId1" Type="http://schemas.openxmlformats.org/officeDocument/2006/relationships/image" Target="media/image5.png"/>
</Relationships>
</file>

<file path=word/_rels/header6.xml.rels><?xml version="1.0" encoding="UTF-8"?>
<Relationships xmlns="http://schemas.openxmlformats.org/package/2006/relationships"><Relationship Id="rId1" Type="http://schemas.openxmlformats.org/officeDocument/2006/relationships/image" Target="media/image6.pn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ighqM0pTmzlb06WqFgqtlZqHEEgA==">CgMxLjAyCGguZ2pkZ3hzMgloLjMwajB6bGw4AHIhMXk2cEt3bWJ1amtJeFdOUllGX3FWLTlIUGJqRTVFenBr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9</TotalTime>
  <Application>LibreOffice/6.3.3.2$Windows_X86_64 LibreOffice_project/a64200df03143b798afd1ec74a12ab50359878ed</Application>
  <Pages>191</Pages>
  <Words>66646</Words>
  <Characters>375133</Characters>
  <CharactersWithSpaces>439410</CharactersWithSpaces>
  <Paragraphs>3060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2025-09-17T22:50:00Z</dcterms:created>
  <dc:creator>Esther</dc:creator>
  <dc:description/>
  <dc:language>es-ES</dc:language>
  <cp:lastModifiedBy/>
  <dcterms:modified xsi:type="dcterms:W3CDTF">2025-10-17T09:53:14Z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HyperlinksChanged">
    <vt:bool>0</vt:bool>
  </property>
  <property fmtid="{D5CDD505-2E9C-101B-9397-08002B2CF9AE}" pid="4" name="LinksUpToDate">
    <vt:bool>0</vt:bool>
  </property>
  <property fmtid="{D5CDD505-2E9C-101B-9397-08002B2CF9AE}" pid="5" name="ScaleCrop">
    <vt:bool>0</vt:bool>
  </property>
  <property fmtid="{D5CDD505-2E9C-101B-9397-08002B2CF9AE}" pid="6" name="ShareDoc">
    <vt:bool>0</vt:bool>
  </property>
</Properties>
</file>