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mbria" w:hAnsi="Cambria"/>
          <w:sz w:val="22"/>
          <w:szCs w:val="22"/>
          <w:u w:val="single"/>
        </w:rPr>
      </w:pPr>
      <w:r>
        <w:rPr>
          <w:rFonts w:ascii="Cambria" w:hAnsi="Cambria"/>
          <w:sz w:val="22"/>
          <w:szCs w:val="22"/>
          <w:u w:val="single"/>
        </w:rPr>
      </w:r>
      <w:bookmarkStart w:id="0" w:name="__DdeLink__7565_2332589330"/>
      <w:bookmarkStart w:id="1" w:name="__DdeLink__7565_2332589330"/>
      <w:bookmarkEnd w:id="1"/>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tbl>
      <w:tblPr>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trPr>
        <w:tc>
          <w:tcPr>
            <w:tcW w:w="3226" w:type="dxa"/>
            <w:tcBorders>
              <w:top w:val="single" w:sz="8" w:space="0" w:color="4F81BD"/>
              <w:bottom w:val="single" w:sz="8" w:space="0" w:color="4F81BD"/>
            </w:tcBorders>
            <w:shd w:color="auto" w:fill="548DD4" w:val="clear"/>
          </w:tcPr>
          <w:p>
            <w:pPr>
              <w:pStyle w:val="Normal"/>
              <w:widowControl w:val="false"/>
              <w:jc w:val="center"/>
              <w:rPr>
                <w:color w:val="FFFFFF"/>
                <w:sz w:val="28"/>
                <w:szCs w:val="28"/>
              </w:rPr>
            </w:pPr>
            <w:r>
              <w:rPr>
                <w:rFonts w:ascii="Cambria" w:hAnsi="Cambria"/>
                <w:color w:val="FFFFFF"/>
                <w:sz w:val="22"/>
                <w:szCs w:val="22"/>
              </w:rPr>
              <w:t xml:space="preserve">IES LA PUEBLA DE  </w:t>
            </w:r>
          </w:p>
          <w:p>
            <w:pPr>
              <w:pStyle w:val="Normal"/>
              <w:widowControl w:val="false"/>
              <w:spacing w:before="0" w:after="200"/>
              <w:jc w:val="center"/>
              <w:rPr>
                <w:u w:val="single"/>
              </w:rPr>
            </w:pPr>
            <w:r>
              <w:rPr>
                <w:rFonts w:ascii="Cambria" w:hAnsi="Cambria"/>
                <w:color w:val="FFFFFF"/>
                <w:sz w:val="22"/>
                <w:szCs w:val="22"/>
              </w:rPr>
              <w:t xml:space="preserve">             </w:t>
            </w:r>
            <w:r>
              <w:rPr>
                <w:rFonts w:ascii="Cambria" w:hAnsi="Cambria"/>
                <w:color w:val="FFFFFF"/>
                <w:sz w:val="22"/>
                <w:szCs w:val="22"/>
              </w:rPr>
              <w:t>ALFINDÉN</w:t>
            </w:r>
          </w:p>
        </w:tc>
        <w:tc>
          <w:tcPr>
            <w:tcW w:w="5252" w:type="dxa"/>
            <w:tcBorders>
              <w:top w:val="single" w:sz="8" w:space="0" w:color="4F81BD"/>
              <w:bottom w:val="single" w:sz="8" w:space="0" w:color="4F81BD"/>
            </w:tcBorders>
            <w:shd w:color="auto" w:fill="auto" w:val="clear"/>
          </w:tcPr>
          <w:p>
            <w:pPr>
              <w:pStyle w:val="Normal"/>
              <w:widowControl w:val="false"/>
              <w:tabs>
                <w:tab w:val="clear" w:pos="720"/>
                <w:tab w:val="center" w:pos="4252" w:leader="none"/>
                <w:tab w:val="right" w:pos="8504" w:leader="none"/>
              </w:tabs>
              <w:rPr/>
            </w:pPr>
            <w:r>
              <w:rPr>
                <w:rFonts w:ascii="Cambria" w:hAnsi="Cambria"/>
                <w:color w:val="1F497D"/>
                <w:sz w:val="22"/>
                <w:szCs w:val="22"/>
              </w:rPr>
              <w:t>PROGRAMACIÓN DIDÁCTICA DE  FÍSICA Y QUÍMICA</w:t>
            </w:r>
          </w:p>
          <w:p>
            <w:pPr>
              <w:pStyle w:val="Normal"/>
              <w:widowControl w:val="false"/>
              <w:tabs>
                <w:tab w:val="clear" w:pos="720"/>
                <w:tab w:val="center" w:pos="4252" w:leader="none"/>
                <w:tab w:val="right" w:pos="8504" w:leader="none"/>
              </w:tabs>
              <w:rPr>
                <w:rFonts w:ascii="Cambria" w:hAnsi="Cambria"/>
                <w:color w:val="1F497D"/>
                <w:sz w:val="22"/>
                <w:szCs w:val="22"/>
              </w:rPr>
            </w:pPr>
            <w:r>
              <w:rPr>
                <w:rFonts w:ascii="Cambria" w:hAnsi="Cambria"/>
                <w:color w:val="1F497D"/>
                <w:sz w:val="22"/>
                <w:szCs w:val="22"/>
              </w:rPr>
              <w:t>QUÍMICA 2ºBCH</w:t>
            </w:r>
          </w:p>
          <w:p>
            <w:pPr>
              <w:pStyle w:val="Normal"/>
              <w:widowControl w:val="false"/>
              <w:tabs>
                <w:tab w:val="clear" w:pos="720"/>
                <w:tab w:val="center" w:pos="4252" w:leader="none"/>
                <w:tab w:val="right" w:pos="8504" w:leader="none"/>
              </w:tabs>
              <w:rPr/>
            </w:pPr>
            <w:bookmarkStart w:id="2" w:name="_heading=h.gjdgxs"/>
            <w:bookmarkEnd w:id="2"/>
            <w:r>
              <w:rPr>
                <w:rFonts w:ascii="Cambria" w:hAnsi="Cambria"/>
                <w:color w:val="1F497D"/>
                <w:sz w:val="22"/>
                <w:szCs w:val="22"/>
              </w:rPr>
              <w:t>CURSO 2025-2026</w:t>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spacing w:before="0" w:after="200"/>
              <w:rPr>
                <w:rFonts w:ascii="Cambria" w:hAnsi="Cambria"/>
                <w:sz w:val="22"/>
                <w:szCs w:val="22"/>
                <w:u w:val="single"/>
              </w:rPr>
            </w:pPr>
            <w:r>
              <w:rPr>
                <w:rFonts w:ascii="Cambria" w:hAnsi="Cambria"/>
                <w:sz w:val="22"/>
                <w:szCs w:val="22"/>
                <w:u w:val="single"/>
              </w:rPr>
            </w:r>
          </w:p>
        </w:tc>
      </w:tr>
    </w:tbl>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jc w:val="both"/>
        <w:rPr>
          <w:rFonts w:ascii="Cambria" w:hAnsi="Cambria" w:eastAsia="Cambria" w:cs="Cambria"/>
          <w:b/>
          <w:b/>
          <w:u w:val="single"/>
        </w:rPr>
      </w:pPr>
      <w:r>
        <w:br w:type="column"/>
      </w:r>
      <w:r>
        <w:rPr>
          <w:rFonts w:eastAsia="Cambria" w:cs="Cambria"/>
          <w:b/>
          <w:sz w:val="22"/>
          <w:szCs w:val="22"/>
          <w:u w:val="single"/>
        </w:rPr>
        <w:t>ÍNDICE</w:t>
      </w:r>
    </w:p>
    <w:p>
      <w:pPr>
        <w:pStyle w:val="Normal"/>
        <w:jc w:val="both"/>
        <w:rPr>
          <w:rFonts w:ascii="Cambria" w:hAnsi="Cambria" w:eastAsia="Cambria" w:cs="Cambria"/>
        </w:rPr>
      </w:pPr>
      <w:r>
        <w:rPr>
          <w:rFonts w:eastAsia="Cambria" w:cs="Cambria"/>
          <w:sz w:val="22"/>
          <w:szCs w:val="22"/>
        </w:rPr>
        <w:t>INTRODUCCIÓN</w:t>
      </w:r>
    </w:p>
    <w:p>
      <w:pPr>
        <w:pStyle w:val="Normal"/>
        <w:jc w:val="both"/>
        <w:rPr>
          <w:rFonts w:ascii="Cambria" w:hAnsi="Cambria" w:eastAsia="Cambria" w:cs="Cambria"/>
        </w:rPr>
      </w:pPr>
      <w:r>
        <w:rPr>
          <w:rFonts w:eastAsia="Cambria" w:cs="Cambria"/>
          <w:sz w:val="22"/>
          <w:szCs w:val="22"/>
        </w:rPr>
        <w:t>1. COMPETENCIAS ESPECÍFICAS Y CRITERIOS DE EVALUACIÓN ASOCIADOS A ELLAS</w:t>
      </w:r>
    </w:p>
    <w:p>
      <w:pPr>
        <w:pStyle w:val="Normal"/>
        <w:jc w:val="both"/>
        <w:rPr>
          <w:rFonts w:ascii="Cambria" w:hAnsi="Cambria" w:eastAsia="Cambria" w:cs="Cambria"/>
        </w:rPr>
      </w:pPr>
      <w:r>
        <w:rPr>
          <w:rFonts w:eastAsia="Cambria" w:cs="Cambria"/>
          <w:sz w:val="22"/>
          <w:szCs w:val="22"/>
        </w:rPr>
        <w:t>2. CONCRECIÓN, AGRUPAMIENTO Y SECUENCIACIÓN DE LOS SABERES BÁSICOS Y DE LOS CRITERIOS DE EVALUACIÓN EN UNIDADES DIDÁCTICAS</w:t>
      </w:r>
    </w:p>
    <w:p>
      <w:pPr>
        <w:pStyle w:val="Normal"/>
        <w:jc w:val="both"/>
        <w:rPr>
          <w:rFonts w:ascii="Cambria" w:hAnsi="Cambria" w:eastAsia="Cambria" w:cs="Cambria"/>
        </w:rPr>
      </w:pPr>
      <w:r>
        <w:rPr>
          <w:rFonts w:eastAsia="Cambria" w:cs="Cambria"/>
          <w:sz w:val="22"/>
          <w:szCs w:val="22"/>
        </w:rPr>
        <w:t>3. PROCEDIMIENTOS E INSTRUMENTOS DE EVALUACIÓN</w:t>
      </w:r>
    </w:p>
    <w:p>
      <w:pPr>
        <w:pStyle w:val="Normal"/>
        <w:jc w:val="both"/>
        <w:rPr>
          <w:rFonts w:ascii="Cambria" w:hAnsi="Cambria" w:eastAsia="Cambria" w:cs="Cambria"/>
        </w:rPr>
      </w:pPr>
      <w:r>
        <w:rPr>
          <w:rFonts w:eastAsia="Cambria" w:cs="Cambria"/>
          <w:sz w:val="22"/>
          <w:szCs w:val="22"/>
        </w:rPr>
        <w:t>4. CRITERIOS DE CALIFICACIÓN</w:t>
      </w:r>
    </w:p>
    <w:p>
      <w:pPr>
        <w:pStyle w:val="Normal"/>
        <w:jc w:val="both"/>
        <w:rPr/>
      </w:pPr>
      <w:r>
        <w:rPr>
          <w:rFonts w:eastAsia="Cambria" w:cs="Cambria"/>
          <w:sz w:val="22"/>
          <w:szCs w:val="22"/>
        </w:rPr>
        <w:t>5. EVALUACIÓN INICIAL</w:t>
      </w:r>
    </w:p>
    <w:p>
      <w:pPr>
        <w:pStyle w:val="Normal"/>
        <w:jc w:val="both"/>
        <w:rPr/>
      </w:pPr>
      <w:r>
        <w:rPr>
          <w:rFonts w:eastAsia="Cambria" w:cs="Cambria" w:ascii="Cambria" w:hAnsi="Cambria"/>
          <w:sz w:val="22"/>
          <w:szCs w:val="22"/>
        </w:rPr>
        <w:t xml:space="preserve">6. EVALUACIÓN EXTRAORDINARIA </w:t>
      </w:r>
    </w:p>
    <w:p>
      <w:pPr>
        <w:pStyle w:val="Normal"/>
        <w:jc w:val="both"/>
        <w:rPr/>
      </w:pPr>
      <w:r>
        <w:rPr>
          <w:rFonts w:eastAsia="Cambria" w:cs="Cambria"/>
          <w:sz w:val="22"/>
          <w:szCs w:val="22"/>
        </w:rPr>
        <w:t>7. ACTUACIONES GENERALES DE ATENCIÓN A LAS DIFERENCIAS INDIVIDUALES</w:t>
      </w:r>
    </w:p>
    <w:p>
      <w:pPr>
        <w:pStyle w:val="Normal"/>
        <w:jc w:val="both"/>
        <w:rPr/>
      </w:pPr>
      <w:r>
        <w:rPr>
          <w:rFonts w:eastAsia="Cambria" w:cs="Cambria"/>
          <w:sz w:val="22"/>
          <w:szCs w:val="22"/>
        </w:rPr>
        <w:t xml:space="preserve">8. PLAN DE RECUPERACIÓN DE MATERIAS PENDIENTES </w:t>
      </w:r>
    </w:p>
    <w:p>
      <w:pPr>
        <w:pStyle w:val="Normal"/>
        <w:jc w:val="both"/>
        <w:rPr/>
      </w:pPr>
      <w:r>
        <w:rPr>
          <w:rFonts w:eastAsia="Cambria" w:cs="Cambria"/>
          <w:sz w:val="22"/>
          <w:szCs w:val="22"/>
        </w:rPr>
        <w:t>9. ESTRATEGIAS DIDÁCTICAS Y METODOLÓGICAS</w:t>
      </w:r>
    </w:p>
    <w:p>
      <w:pPr>
        <w:pStyle w:val="Normal"/>
        <w:jc w:val="both"/>
        <w:rPr/>
      </w:pPr>
      <w:r>
        <w:rPr>
          <w:rFonts w:eastAsia="Cambria" w:cs="Cambria"/>
          <w:sz w:val="22"/>
          <w:szCs w:val="22"/>
        </w:rPr>
        <w:t>10. CONCRECIÓN DEL PLAN DE IMPLEMENTACIÓN DE ELEMENTOS TRANSVERSALES</w:t>
      </w:r>
    </w:p>
    <w:p>
      <w:pPr>
        <w:pStyle w:val="Normal"/>
        <w:jc w:val="both"/>
        <w:rPr/>
      </w:pPr>
      <w:r>
        <w:rPr>
          <w:rFonts w:eastAsia="Cambria" w:cs="Cambria"/>
          <w:sz w:val="22"/>
          <w:szCs w:val="22"/>
        </w:rPr>
        <w:t>11. CONCRECIÓN DEL PLAN DE UTILIZACIÓN DE LAS TECNOLOGÍAS DIGITALES</w:t>
      </w:r>
    </w:p>
    <w:p>
      <w:pPr>
        <w:pStyle w:val="Normal"/>
        <w:jc w:val="both"/>
        <w:rPr/>
      </w:pPr>
      <w:r>
        <w:rPr>
          <w:rFonts w:eastAsia="Cambria" w:cs="Cambria"/>
          <w:sz w:val="22"/>
          <w:szCs w:val="22"/>
        </w:rPr>
        <w:t xml:space="preserve">12.CONCRECIÓN DEL PLAN LECTOR </w:t>
      </w:r>
    </w:p>
    <w:p>
      <w:pPr>
        <w:pStyle w:val="Normal"/>
        <w:jc w:val="both"/>
        <w:rPr/>
      </w:pPr>
      <w:r>
        <w:rPr>
          <w:rFonts w:eastAsia="Cambria" w:cs="Cambria"/>
          <w:sz w:val="22"/>
          <w:szCs w:val="22"/>
        </w:rPr>
        <w:t xml:space="preserve">13. MECANISMOS DE REVISIÓN, EVALUACIÓN Y MODIFICACIÓN DE LAS </w:t>
      </w:r>
      <w:bookmarkStart w:id="3" w:name="_GoBack"/>
      <w:r>
        <w:rPr>
          <w:rFonts w:eastAsia="Cambria" w:cs="Cambria"/>
          <w:sz w:val="22"/>
          <w:szCs w:val="22"/>
        </w:rPr>
        <w:t>PROGRAMACIONES DIDÁCTICAS</w:t>
      </w:r>
      <w:bookmarkEnd w:id="3"/>
    </w:p>
    <w:p>
      <w:pPr>
        <w:pStyle w:val="Normal"/>
        <w:jc w:val="both"/>
        <w:rPr/>
      </w:pPr>
      <w:r>
        <w:rPr>
          <w:rFonts w:eastAsia="Cambria" w:cs="Cambria"/>
          <w:sz w:val="22"/>
          <w:szCs w:val="22"/>
        </w:rPr>
        <w:t>14. ACTIVIDADES COMPLEMENTARIAS Y EXTRAESCOLARES</w:t>
      </w:r>
    </w:p>
    <w:p>
      <w:pPr>
        <w:pStyle w:val="Normal"/>
        <w:jc w:val="both"/>
        <w:rPr/>
      </w:pPr>
      <w:r>
        <w:rPr>
          <w:rFonts w:eastAsia="Cambria" w:cs="Cambria"/>
          <w:sz w:val="22"/>
          <w:szCs w:val="22"/>
        </w:rPr>
        <w:t>15. FORMA EN LA QUE SE DAN A CONOCER LOS ASPECTOS RELEVANTES DE ESTA PROGRAMACIÓN AL ALUMNADO Y LAS FAMILIAS</w:t>
      </w:r>
    </w:p>
    <w:p>
      <w:pPr>
        <w:pStyle w:val="Normal"/>
        <w:jc w:val="both"/>
        <w:rPr/>
      </w:pPr>
      <w:r>
        <w:rPr>
          <w:rFonts w:eastAsia="Cambria" w:cs="Cambria"/>
          <w:sz w:val="22"/>
          <w:szCs w:val="22"/>
        </w:rPr>
        <w:t>15. OTRAS CONSIDERACIONES</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mbria" w:hAnsi="Cambria" w:eastAsia="Cambria" w:cs="Cambria"/>
          <w:b/>
          <w:b/>
          <w:u w:val="single"/>
        </w:rPr>
      </w:pPr>
      <w:r>
        <w:rPr>
          <w:rFonts w:eastAsia="Cambria" w:cs="Cambria"/>
          <w:b/>
          <w:sz w:val="22"/>
          <w:szCs w:val="22"/>
          <w:u w:val="single"/>
        </w:rPr>
        <w:t>INTRODUCCIÓN</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Arial" w:hAnsi="Arial"/>
          <w:sz w:val="20"/>
          <w:szCs w:val="20"/>
        </w:rPr>
      </w:pPr>
      <w:r>
        <w:rPr>
          <w:rFonts w:eastAsia="Cambria" w:cs="Cambria"/>
          <w:sz w:val="22"/>
          <w:szCs w:val="22"/>
        </w:rPr>
        <w:t>La normativa básica para la elaboración de esta programación es:</w:t>
      </w:r>
    </w:p>
    <w:p>
      <w:pPr>
        <w:pStyle w:val="Normal"/>
        <w:numPr>
          <w:ilvl w:val="0"/>
          <w:numId w:val="1"/>
        </w:numPr>
        <w:jc w:val="both"/>
        <w:rPr>
          <w:rFonts w:ascii="Cambria" w:hAnsi="Cambria" w:eastAsia="Cambria" w:cs="Cambria"/>
          <w:i/>
          <w:i/>
        </w:rPr>
      </w:pPr>
      <w:r>
        <w:rPr>
          <w:rFonts w:eastAsia="Cambria" w:cs="Cambria"/>
          <w:i/>
          <w:sz w:val="22"/>
          <w:szCs w:val="22"/>
        </w:rPr>
        <w:t>Orden ECD/1173/2022, de 3 de agosto, por la que se aprueban el currículo y las características de la evaluación de Bachillerato y se autoriza su aplicación en los centros docentes de la Comunidad Autónoma de Aragón.</w:t>
      </w:r>
    </w:p>
    <w:p>
      <w:pPr>
        <w:pStyle w:val="Normal"/>
        <w:spacing w:lineRule="auto" w:line="240"/>
        <w:jc w:val="both"/>
        <w:rPr>
          <w:rFonts w:ascii="Calibri" w:hAnsi="Calibri" w:eastAsia="Cambria" w:cs="Cambria"/>
          <w:i/>
          <w:i/>
          <w:sz w:val="22"/>
          <w:szCs w:val="22"/>
        </w:rPr>
      </w:pPr>
      <w:r>
        <w:rPr>
          <w:rFonts w:eastAsia="Cambria" w:cs="Cambria"/>
          <w:i/>
          <w:sz w:val="22"/>
          <w:szCs w:val="22"/>
        </w:rPr>
      </w:r>
    </w:p>
    <w:p>
      <w:pPr>
        <w:pStyle w:val="Normal"/>
        <w:jc w:val="both"/>
        <w:rPr>
          <w:rFonts w:ascii="Arial" w:hAnsi="Arial"/>
          <w:sz w:val="20"/>
          <w:szCs w:val="20"/>
        </w:rPr>
      </w:pPr>
      <w:r>
        <w:rPr>
          <w:rFonts w:eastAsia="Cambria" w:cs="Cambria"/>
          <w:b/>
          <w:sz w:val="22"/>
          <w:szCs w:val="22"/>
          <w:u w:val="single"/>
        </w:rPr>
        <w:t>1. COMPETENCIAS ESPECÍFICAS Y CRITERIOS DE EVALUACIÓN ASOCIADOS A ELLAS</w:t>
      </w:r>
    </w:p>
    <w:p>
      <w:pPr>
        <w:pStyle w:val="Ttulo1"/>
        <w:rPr>
          <w:rFonts w:ascii="Arial" w:hAnsi="Arial"/>
          <w:sz w:val="20"/>
          <w:szCs w:val="20"/>
        </w:rPr>
      </w:pPr>
      <w:r>
        <w:rPr>
          <w:sz w:val="22"/>
          <w:szCs w:val="22"/>
        </w:rPr>
        <w:t>I. Competencias específicas</w:t>
      </w:r>
    </w:p>
    <w:p>
      <w:pPr>
        <w:pStyle w:val="Ttulo2"/>
        <w:rPr>
          <w:rFonts w:ascii="Arial" w:hAnsi="Arial"/>
          <w:sz w:val="20"/>
          <w:szCs w:val="20"/>
        </w:rPr>
      </w:pPr>
      <w:r>
        <w:rPr>
          <w:sz w:val="22"/>
          <w:szCs w:val="22"/>
        </w:rPr>
        <w:t>Competencia específica de la materia Química 1:</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Arial" w:hAnsi="Arial"/>
          <w:sz w:val="20"/>
          <w:szCs w:val="20"/>
        </w:rPr>
      </w:pPr>
      <w:r>
        <w:rPr>
          <w:b/>
          <w:sz w:val="22"/>
          <w:szCs w:val="22"/>
        </w:rPr>
        <w:t xml:space="preserve">CE.Q.1. </w:t>
      </w:r>
      <w:r>
        <w:rPr>
          <w:sz w:val="22"/>
          <w:szCs w:val="22"/>
        </w:rPr>
        <w:t>Comprender, describir y aplicar los fundamentos de los procesos químicos más importantes, atendiendo a su base experimental y a los fenómenos que describen, para reconocer el papel relevante de la Química en el desarrollo de la sociedad.</w:t>
      </w:r>
    </w:p>
    <w:p>
      <w:pPr>
        <w:pStyle w:val="Ttulo3"/>
        <w:rPr>
          <w:rFonts w:ascii="Arial" w:hAnsi="Arial"/>
          <w:sz w:val="20"/>
          <w:szCs w:val="20"/>
        </w:rPr>
      </w:pPr>
      <w:r>
        <w:rPr>
          <w:sz w:val="22"/>
          <w:szCs w:val="22"/>
        </w:rPr>
        <w:t>Descripción</w:t>
      </w:r>
    </w:p>
    <w:p>
      <w:pPr>
        <w:pStyle w:val="Normal"/>
        <w:rPr>
          <w:rFonts w:ascii="Arial" w:hAnsi="Arial"/>
          <w:sz w:val="20"/>
          <w:szCs w:val="20"/>
        </w:rPr>
      </w:pPr>
      <w:r>
        <w:rPr>
          <w:sz w:val="22"/>
          <w:szCs w:val="22"/>
        </w:rPr>
        <w:t>La Química, como disciplina de las ciencias naturales, trata de descubrir a través de los procedimientos científicos cuáles son los porqués últimos de los fenómenos que ocurren en la naturaleza y de darles una explicación plausible a partir de las leyes científicas que los rigen. Además, esta disciplina tiene una importante base experimental que la convierte en una ciencia versátil y de especial relevancia para la formación clave del alumnado que vaya a optar por continuar su formación en itinerarios científicos, tecnológicos o sanitarios.</w:t>
      </w:r>
    </w:p>
    <w:p>
      <w:pPr>
        <w:pStyle w:val="Normal"/>
        <w:rPr>
          <w:rFonts w:ascii="Arial" w:hAnsi="Arial"/>
          <w:sz w:val="20"/>
          <w:szCs w:val="20"/>
        </w:rPr>
      </w:pPr>
      <w:r>
        <w:rPr>
          <w:sz w:val="22"/>
          <w:szCs w:val="22"/>
        </w:rPr>
        <w:t>Con el desarrollo de esta competencia específica se pretende que el alumnado comprenda también que la Química es una ciencia viva, cuyas repercusiones no solo han sido importantes en el pasado, sino que también suponen una importante contribución en la mejora de la sociedad presente y futura. A través de las distintas ramas de la Química, el alumnado será capaz de descubrir cuáles son sus aportaciones más relevantes en la tecnología, la economía, la sociedad y el medioambiente.</w:t>
      </w:r>
    </w:p>
    <w:p>
      <w:pPr>
        <w:pStyle w:val="Ttulo3"/>
        <w:rPr>
          <w:rFonts w:ascii="Arial" w:hAnsi="Arial"/>
          <w:sz w:val="20"/>
          <w:szCs w:val="20"/>
        </w:rPr>
      </w:pPr>
      <w:r>
        <w:rPr>
          <w:sz w:val="22"/>
          <w:szCs w:val="22"/>
        </w:rPr>
        <w:t>Vinculación con otras competencias</w:t>
      </w:r>
    </w:p>
    <w:p>
      <w:pPr>
        <w:pStyle w:val="NormalWeb"/>
        <w:spacing w:beforeAutospacing="0" w:before="0" w:afterAutospacing="0" w:after="160"/>
        <w:jc w:val="both"/>
        <w:rPr>
          <w:rFonts w:ascii="Arial" w:hAnsi="Arial"/>
          <w:sz w:val="20"/>
          <w:szCs w:val="20"/>
        </w:rPr>
      </w:pPr>
      <w:r>
        <w:rPr>
          <w:rFonts w:eastAsia="Calibri" w:cs="" w:ascii="Calibri" w:hAnsi="Calibri" w:cstheme="minorBidi" w:eastAsiaTheme="minorHAnsi"/>
          <w:sz w:val="22"/>
          <w:szCs w:val="22"/>
          <w:lang w:eastAsia="en-US"/>
        </w:rPr>
        <w:t>Esta competencia, como la CE.Q.2., se enmarca en la puesta en valor de la Química como Ciencia que contribuye a la mejora de la sociedad y, concretamente a la mejora del medioambiente dando soluciones fundamentadas en los principios básicos de la Química. Esta competencia no se puede desarrollar en toda su amplitud sin tener en cuenta la CE.Q.5. que sitúa al trabajo en equipo y el uso del razonamiento científico como herramientas clave para lograr el progreso científico.</w:t>
      </w:r>
    </w:p>
    <w:p>
      <w:pPr>
        <w:pStyle w:val="NormalWeb"/>
        <w:spacing w:beforeAutospacing="0" w:before="0" w:afterAutospacing="0" w:after="160"/>
        <w:jc w:val="both"/>
        <w:rPr>
          <w:rFonts w:ascii="Arial" w:hAnsi="Arial"/>
          <w:sz w:val="20"/>
          <w:szCs w:val="20"/>
        </w:rPr>
      </w:pPr>
      <w:r>
        <w:rPr>
          <w:rFonts w:eastAsia="Calibri" w:cs="" w:ascii="Calibri" w:hAnsi="Calibri" w:cstheme="minorBidi" w:eastAsiaTheme="minorHAnsi"/>
          <w:sz w:val="22"/>
          <w:szCs w:val="22"/>
          <w:lang w:eastAsia="en-US"/>
        </w:rPr>
        <w:t xml:space="preserve">La materia de Química colabora con el resto de materias al conocimiento del entorno y en este sentido, esta competencia se relaciona con muchas otras competencias específicas de otras materias. Su vinculación es más estrecha con competencias específicas de la materia de Biología, como la CE.B.4. que también requiere el tratamiento correcto de la información para explicar fenómenos relacionados con las ciencias. También se relaciona con la competencia CE.F.1, de la materia de Física ya que son interdependientes al utilizar las teorías, principios y leyes que rigen la ciencia para contribuir al desarrollo de la tecnología, la sociedad y la sostenibilidad ambiental.  </w:t>
      </w:r>
    </w:p>
    <w:p>
      <w:pPr>
        <w:pStyle w:val="Ttulo3"/>
        <w:rPr>
          <w:rFonts w:ascii="Arial" w:hAnsi="Arial"/>
          <w:sz w:val="20"/>
          <w:szCs w:val="20"/>
        </w:rPr>
      </w:pPr>
      <w:r>
        <w:rPr>
          <w:sz w:val="22"/>
          <w:szCs w:val="22"/>
        </w:rPr>
        <w:t>Vinculación con los descriptores de las competencias clave</w:t>
      </w:r>
    </w:p>
    <w:p>
      <w:pPr>
        <w:pStyle w:val="Normal"/>
        <w:rPr>
          <w:rFonts w:ascii="Arial" w:hAnsi="Arial"/>
          <w:sz w:val="20"/>
          <w:szCs w:val="20"/>
        </w:rPr>
      </w:pPr>
      <w:r>
        <w:rPr>
          <w:sz w:val="22"/>
          <w:szCs w:val="22"/>
        </w:rPr>
        <w:t>Esta competencia específica se conecta con los siguientes descriptores: STEM1, STEM2, STEM3, CE1.</w:t>
      </w:r>
    </w:p>
    <w:p>
      <w:pPr>
        <w:pStyle w:val="Ttulo2"/>
        <w:rPr>
          <w:rFonts w:ascii="Arial" w:hAnsi="Arial"/>
          <w:sz w:val="20"/>
          <w:szCs w:val="20"/>
        </w:rPr>
      </w:pPr>
      <w:r>
        <w:rPr>
          <w:sz w:val="22"/>
          <w:szCs w:val="22"/>
        </w:rPr>
        <w:t>Competencia específica de la materia Química 2:</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Arial" w:hAnsi="Arial"/>
          <w:sz w:val="20"/>
          <w:szCs w:val="20"/>
        </w:rPr>
      </w:pPr>
      <w:r>
        <w:rPr>
          <w:b/>
          <w:sz w:val="22"/>
          <w:szCs w:val="22"/>
        </w:rPr>
        <w:t xml:space="preserve">CE.Q.2. </w:t>
      </w:r>
      <w:r>
        <w:rPr>
          <w:sz w:val="22"/>
          <w:szCs w:val="22"/>
        </w:rPr>
        <w:t>Adoptar los modelos y leyes de la Química aceptados como base de estudio de las propiedades de los sistemas materiales, para inferir soluciones generales a los problemas cotidianos relacionados con las aplicaciones prácticas de la Química y sus repercusiones en el medioambiente.</w:t>
      </w:r>
    </w:p>
    <w:p>
      <w:pPr>
        <w:pStyle w:val="Ttulo3"/>
        <w:rPr>
          <w:rFonts w:ascii="Arial" w:hAnsi="Arial"/>
          <w:sz w:val="20"/>
          <w:szCs w:val="20"/>
        </w:rPr>
      </w:pPr>
      <w:r>
        <w:rPr>
          <w:sz w:val="22"/>
          <w:szCs w:val="22"/>
        </w:rPr>
        <w:t>Descripción</w:t>
      </w:r>
    </w:p>
    <w:p>
      <w:pPr>
        <w:pStyle w:val="Normal"/>
        <w:rPr>
          <w:rFonts w:ascii="Arial" w:hAnsi="Arial"/>
          <w:sz w:val="20"/>
          <w:szCs w:val="20"/>
        </w:rPr>
      </w:pPr>
      <w:r>
        <w:rPr>
          <w:sz w:val="22"/>
          <w:szCs w:val="22"/>
        </w:rPr>
        <w:t>La ciencia Química constituye un cuerpo de conocimiento racional, coherente y completo cuyas leyes y teorías se fundamentan en principios básicos y observaciones experimentales. Sería insuficiente, sin embargo, que el alumnado aprendiese Química solo en este aspecto. Es necesario demostrar que el modelo coherente de la naturaleza que se presenta a través de esta ciencia es válido a través del contacto con situaciones cotidianas y con las preguntas que surgen de la observación de la realidad. Así, el alumnado que estudie esta disciplina debe ser capaz de identificar los principios básicos de la Química que justifican que los sistemas materiales tengan determinadas propiedades y aplicaciones en base a su composición y que existe una base fundamental de carácter químico en el fondo de cada una de las cuestiones medioambientales actuales y, sobre todo, en las ideas y métodos para solucionar los problemas relacionados con ellas.</w:t>
      </w:r>
    </w:p>
    <w:p>
      <w:pPr>
        <w:pStyle w:val="Normal"/>
        <w:rPr>
          <w:rFonts w:ascii="Arial" w:hAnsi="Arial"/>
          <w:sz w:val="20"/>
          <w:szCs w:val="20"/>
        </w:rPr>
      </w:pPr>
      <w:r>
        <w:rPr>
          <w:sz w:val="22"/>
          <w:szCs w:val="22"/>
        </w:rPr>
        <w:t>Solo desde este conocimiento profundo de la base Química de la naturaleza de la materia y de los cambios que le afectan se podrán encontrar respuestas y soluciones efectivas a cuestiones reales y prácticas, tal y como se presentan a través de nuestra percepción o se formulan en los medios de comunicación.</w:t>
      </w:r>
    </w:p>
    <w:p>
      <w:pPr>
        <w:pStyle w:val="Ttulo3"/>
        <w:rPr>
          <w:rFonts w:ascii="Arial" w:hAnsi="Arial"/>
          <w:sz w:val="20"/>
          <w:szCs w:val="20"/>
        </w:rPr>
      </w:pPr>
      <w:r>
        <w:rPr>
          <w:sz w:val="22"/>
          <w:szCs w:val="22"/>
        </w:rPr>
        <w:t>Vinculación con otras competencias</w:t>
      </w:r>
    </w:p>
    <w:p>
      <w:pPr>
        <w:pStyle w:val="Normal"/>
        <w:rPr>
          <w:rFonts w:ascii="Arial" w:hAnsi="Arial"/>
          <w:sz w:val="20"/>
          <w:szCs w:val="20"/>
        </w:rPr>
      </w:pPr>
      <w:r>
        <w:rPr>
          <w:sz w:val="22"/>
          <w:szCs w:val="22"/>
        </w:rPr>
        <w:t>Esta competencia se relaciona con la CE.Q.1. al considerarse necesario el reconocimiento de la Química como ciencia que supone una importante contribución en la mejora de la sociedad actual y la del futuro. Es importante señalar su relación con la CE.Q.5. ya que, para encontrar soluciones a problemas cotidianos relacionados con la Química, es imprescindible hacerlo con una formación en técnicas de trabajo propias de las ciencias experimentales y un dominio del razonamiento lógico-matemático.</w:t>
      </w:r>
    </w:p>
    <w:p>
      <w:pPr>
        <w:pStyle w:val="Normal"/>
        <w:rPr>
          <w:rFonts w:ascii="Arial" w:hAnsi="Arial"/>
          <w:sz w:val="20"/>
          <w:szCs w:val="20"/>
        </w:rPr>
      </w:pPr>
      <w:r>
        <w:rPr>
          <w:sz w:val="22"/>
          <w:szCs w:val="22"/>
        </w:rPr>
        <w:t>Otras materias también contribuyen al desarrollo de esta competencia, como Biología a través de la CE-B.4. en la que se plantea que, ante el planteamiento de hipótesis, como la interpretación de datos y resultados, o el diseño experimental requieren aplicar el pensamiento lógico-formal. Por otra parte, esta competencia tiene una relación directa con la CE.F.2. de la materia de Física, en la que se sugiere la adopción de los modelos, teorías y leyes aceptados como base de estudio de los sistemas naturales para inferir soluciones generales a problemas cotidianos.</w:t>
      </w:r>
    </w:p>
    <w:p>
      <w:pPr>
        <w:pStyle w:val="Ttulo3"/>
        <w:rPr>
          <w:rFonts w:ascii="Arial" w:hAnsi="Arial"/>
          <w:sz w:val="20"/>
          <w:szCs w:val="20"/>
        </w:rPr>
      </w:pPr>
      <w:r>
        <w:rPr>
          <w:sz w:val="22"/>
          <w:szCs w:val="22"/>
        </w:rPr>
        <w:t>Vinculación con los descriptores de las competencias clave</w:t>
      </w:r>
    </w:p>
    <w:p>
      <w:pPr>
        <w:pStyle w:val="Normal"/>
        <w:rPr>
          <w:rFonts w:ascii="Arial" w:hAnsi="Arial"/>
          <w:sz w:val="20"/>
          <w:szCs w:val="20"/>
        </w:rPr>
      </w:pPr>
      <w:r>
        <w:rPr>
          <w:sz w:val="22"/>
          <w:szCs w:val="22"/>
        </w:rPr>
        <w:t>Esta competencia específica se conecta con los siguientes descriptores: CCL2, STEM2, STEM5, CD5, CE1.</w:t>
      </w:r>
    </w:p>
    <w:p>
      <w:pPr>
        <w:pStyle w:val="Ttulo2"/>
        <w:rPr>
          <w:rFonts w:ascii="Arial" w:hAnsi="Arial"/>
          <w:sz w:val="20"/>
          <w:szCs w:val="20"/>
        </w:rPr>
      </w:pPr>
      <w:r>
        <w:rPr>
          <w:sz w:val="22"/>
          <w:szCs w:val="22"/>
        </w:rPr>
        <w:t>Competencia específica de la materia Química 3:</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Arial" w:hAnsi="Arial"/>
          <w:sz w:val="20"/>
          <w:szCs w:val="20"/>
        </w:rPr>
      </w:pPr>
      <w:r>
        <w:rPr>
          <w:b/>
          <w:sz w:val="22"/>
          <w:szCs w:val="22"/>
        </w:rPr>
        <w:t xml:space="preserve">CE.Q.3. </w:t>
      </w:r>
      <w:r>
        <w:rPr>
          <w:sz w:val="22"/>
          <w:szCs w:val="22"/>
        </w:rPr>
        <w:t>Utilizar con corrección los códigos del lenguaje químico (nomenclatura química, unidades, ecuaciones, etc.), aplicando sus reglas específicas, para emplearlos como base de una comunicación adecuada entre diferentes comunidades científicas y herramienta fundamental en la investigación de esta ciencia.</w:t>
      </w:r>
    </w:p>
    <w:p>
      <w:pPr>
        <w:pStyle w:val="Ttulo3"/>
        <w:rPr>
          <w:rFonts w:ascii="Arial" w:hAnsi="Arial"/>
          <w:sz w:val="20"/>
          <w:szCs w:val="20"/>
        </w:rPr>
      </w:pPr>
      <w:r>
        <w:rPr>
          <w:sz w:val="22"/>
          <w:szCs w:val="22"/>
        </w:rPr>
        <w:t>Descripción</w:t>
      </w:r>
    </w:p>
    <w:p>
      <w:pPr>
        <w:pStyle w:val="Normal"/>
        <w:rPr>
          <w:rFonts w:ascii="Arial" w:hAnsi="Arial"/>
          <w:sz w:val="20"/>
          <w:szCs w:val="20"/>
        </w:rPr>
      </w:pPr>
      <w:r>
        <w:rPr>
          <w:sz w:val="22"/>
          <w:szCs w:val="22"/>
        </w:rPr>
        <w:t>La Química utiliza lenguajes cuyos códigos son muy específicos y que es necesario conocer para trabajar en esta disciplina y establecer relaciones de comunicación efectiva entre los miembros de la comunidad científica. En un sentido amplio, esta competencia no se enfoca exclusivamente en utilizar de forma correcta las normas de la IUPAC para nombrar y formular, sino que también hace alusión a todas las herramientas que una situación relacionada con la Química pueda requerir, como las herramientas matemáticas que se refieren a ecuaciones y operaciones, o los sistemas de unidades y las conversiones adecuadas dentro de ellos, por ejemplo.</w:t>
      </w:r>
    </w:p>
    <w:p>
      <w:pPr>
        <w:pStyle w:val="Normal"/>
        <w:rPr>
          <w:rFonts w:ascii="Arial" w:hAnsi="Arial"/>
          <w:sz w:val="20"/>
          <w:szCs w:val="20"/>
        </w:rPr>
      </w:pPr>
      <w:r>
        <w:rPr>
          <w:sz w:val="22"/>
          <w:szCs w:val="22"/>
        </w:rPr>
        <w:t>El correcto manejo de datos e información relacionados con la Química, sea cual sea el formato en que sean proporcionados, es fundamental para la interpretación y resolución de problemas, la elaboración correcta de informes científicos e investigaciones, la ejecución de prácticas de laboratorio, o la resolución de ejercicios, por ejemplo. Debido a ello, esta competencia específica supone un apoyo muy importante para la ciencia en general, y para la Química en particular.</w:t>
      </w:r>
    </w:p>
    <w:p>
      <w:pPr>
        <w:pStyle w:val="Ttulo3"/>
        <w:rPr>
          <w:rFonts w:ascii="Arial" w:hAnsi="Arial"/>
          <w:sz w:val="20"/>
          <w:szCs w:val="20"/>
        </w:rPr>
      </w:pPr>
      <w:r>
        <w:rPr>
          <w:sz w:val="22"/>
          <w:szCs w:val="22"/>
        </w:rPr>
        <w:t>Vinculación con otras competencias</w:t>
      </w:r>
    </w:p>
    <w:p>
      <w:pPr>
        <w:pStyle w:val="Normal"/>
        <w:rPr>
          <w:rFonts w:ascii="Arial" w:hAnsi="Arial"/>
          <w:sz w:val="20"/>
          <w:szCs w:val="20"/>
        </w:rPr>
      </w:pPr>
      <w:r>
        <w:rPr>
          <w:sz w:val="22"/>
          <w:szCs w:val="22"/>
        </w:rPr>
        <w:t>Los conocimientos, destrezas y actitudes implícitos en esta competencia tienen conexión con otras competencias específicas de la materia de Química, como CE.Q.1. y CE.Q.5. El uso correcto de las unidades de medida, así como del resto de elementos propios del lenguaje científico, son fundamentales para conseguir el desarrollo de estas competencias al constituir la base para la elaboración de preguntas relevantes y a partir de ellas colaborar en los procesos de investigación utilizando un lenguaje común que permita una comunicación fluida y eficaz.</w:t>
      </w:r>
    </w:p>
    <w:p>
      <w:pPr>
        <w:pStyle w:val="Normal"/>
        <w:rPr>
          <w:rFonts w:ascii="Arial" w:hAnsi="Arial"/>
          <w:sz w:val="20"/>
          <w:szCs w:val="20"/>
        </w:rPr>
      </w:pPr>
      <w:r>
        <w:rPr>
          <w:sz w:val="22"/>
          <w:szCs w:val="22"/>
        </w:rPr>
        <w:t xml:space="preserve">De la misma forma, la competencia específica CE.F.3. de la materia de Física, también valora la utilización de los códigos del lenguaje científico para establecer una adecuada comunicación entre comunidades científicas y como herramienta fundamental para trabajar en investigación. Así mismo, en la materia de Biología, al adquirir la competencia específica CE.B.6., el alumnado también será capaz de analizar, evaluar y sintetizar datos de carácter científico para la obtención de conclusiones lógicas que contribuirán a conseguir procesos de comunicación eficaces. </w:t>
      </w:r>
    </w:p>
    <w:p>
      <w:pPr>
        <w:pStyle w:val="Ttulo3"/>
        <w:rPr>
          <w:rFonts w:ascii="Arial" w:hAnsi="Arial"/>
          <w:sz w:val="20"/>
          <w:szCs w:val="20"/>
        </w:rPr>
      </w:pPr>
      <w:r>
        <w:rPr>
          <w:sz w:val="22"/>
          <w:szCs w:val="22"/>
        </w:rPr>
        <w:t>Vinculación con los descriptores de las competencias clave</w:t>
      </w:r>
    </w:p>
    <w:p>
      <w:pPr>
        <w:pStyle w:val="Normal"/>
        <w:rPr>
          <w:rFonts w:ascii="Arial" w:hAnsi="Arial"/>
          <w:sz w:val="20"/>
          <w:szCs w:val="20"/>
        </w:rPr>
      </w:pPr>
      <w:r>
        <w:rPr>
          <w:sz w:val="22"/>
          <w:szCs w:val="22"/>
        </w:rPr>
        <w:t>Esta competencia específica se conecta con los siguientes descriptores: STEM4, CCL1, CCL5, CPSAA5, CE3.</w:t>
      </w:r>
    </w:p>
    <w:p>
      <w:pPr>
        <w:pStyle w:val="Ttulo2"/>
        <w:rPr>
          <w:rFonts w:ascii="Arial" w:hAnsi="Arial"/>
          <w:sz w:val="20"/>
          <w:szCs w:val="20"/>
        </w:rPr>
      </w:pPr>
      <w:r>
        <w:rPr>
          <w:sz w:val="22"/>
          <w:szCs w:val="22"/>
        </w:rPr>
        <w:t>Competencia específica de la materia Química 4:</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Arial" w:hAnsi="Arial"/>
          <w:sz w:val="20"/>
          <w:szCs w:val="20"/>
        </w:rPr>
      </w:pPr>
      <w:r>
        <w:rPr>
          <w:b/>
          <w:sz w:val="22"/>
          <w:szCs w:val="22"/>
        </w:rPr>
        <w:t xml:space="preserve">CE.Q.4. </w:t>
      </w:r>
      <w:r>
        <w:rPr>
          <w:sz w:val="22"/>
          <w:szCs w:val="22"/>
        </w:rPr>
        <w:t>Reconocer la importancia del uso responsable de los productos y procesos químicos, elaborando argumentos informados sobre la influencia positiva que la Química tiene sobre la sociedad actual, para contribuir a superar las connotaciones negativas que en multitud de ocasiones se atribuyen al término “químico”.</w:t>
      </w:r>
    </w:p>
    <w:p>
      <w:pPr>
        <w:pStyle w:val="Ttulo3"/>
        <w:rPr>
          <w:rFonts w:ascii="Arial" w:hAnsi="Arial"/>
          <w:sz w:val="20"/>
          <w:szCs w:val="20"/>
        </w:rPr>
      </w:pPr>
      <w:r>
        <w:rPr>
          <w:sz w:val="22"/>
          <w:szCs w:val="22"/>
        </w:rPr>
        <w:t>Descripción</w:t>
      </w:r>
    </w:p>
    <w:p>
      <w:pPr>
        <w:pStyle w:val="Normal"/>
        <w:rPr>
          <w:rFonts w:ascii="Arial" w:hAnsi="Arial"/>
          <w:sz w:val="20"/>
          <w:szCs w:val="20"/>
        </w:rPr>
      </w:pPr>
      <w:r>
        <w:rPr>
          <w:sz w:val="22"/>
          <w:szCs w:val="22"/>
        </w:rPr>
        <w:t>Existe la idea generalizada en la sociedad, quizás influida por los medios de comunicación –especialmente en los relacionados con la publicidad de ciertos productos– de que los productos químicos, y la Química en general, son perjudiciales para la salud y el medioambiente. Esta creencia se sustenta, en la mayoría de las ocasiones, en la falta de información y de alfabetización científica de la población. El alumnado que estudia Química debe ser consciente de que los principios fundamentales que explican el funcionamiento del universo tienen</w:t>
      </w:r>
    </w:p>
    <w:p>
      <w:pPr>
        <w:pStyle w:val="Normal"/>
        <w:rPr>
          <w:rFonts w:ascii="Arial" w:hAnsi="Arial"/>
          <w:sz w:val="20"/>
          <w:szCs w:val="20"/>
        </w:rPr>
      </w:pPr>
      <w:r>
        <w:rPr>
          <w:sz w:val="22"/>
          <w:szCs w:val="22"/>
        </w:rPr>
        <w:t>una base científica, así como ser capaz de explicar que las sustancias y procesos naturales se pueden describir y justificar a partir de los conceptos de esta ciencia.</w:t>
      </w:r>
    </w:p>
    <w:p>
      <w:pPr>
        <w:pStyle w:val="Normal"/>
        <w:rPr>
          <w:rFonts w:ascii="Arial" w:hAnsi="Arial"/>
          <w:sz w:val="20"/>
          <w:szCs w:val="20"/>
        </w:rPr>
      </w:pPr>
      <w:r>
        <w:rPr>
          <w:sz w:val="22"/>
          <w:szCs w:val="22"/>
        </w:rPr>
        <w:t>Además de esto, las ideas aprendidas y practicadas en esta etapa les deben capacitar para argumentar y explicar los beneficios que el progreso de la Química ha tenido sobre el bienestar de la sociedad y que los problemas que a veces conllevan estos avances son causados por el empleo negligente, desinformado, interesado o irresponsable de los productos y procesos que ha generado el desarrollo de la ciencia y la tecnología.</w:t>
      </w:r>
    </w:p>
    <w:p>
      <w:pPr>
        <w:pStyle w:val="Ttulo3"/>
        <w:rPr>
          <w:rFonts w:ascii="Arial" w:hAnsi="Arial"/>
          <w:sz w:val="20"/>
          <w:szCs w:val="20"/>
        </w:rPr>
      </w:pPr>
      <w:r>
        <w:rPr>
          <w:sz w:val="22"/>
          <w:szCs w:val="22"/>
        </w:rPr>
        <w:t>Vinculación con otras competencias</w:t>
      </w:r>
    </w:p>
    <w:p>
      <w:pPr>
        <w:pStyle w:val="Normal"/>
        <w:rPr>
          <w:rFonts w:ascii="Arial" w:hAnsi="Arial"/>
          <w:sz w:val="20"/>
          <w:szCs w:val="20"/>
        </w:rPr>
      </w:pPr>
      <w:r>
        <w:rPr>
          <w:sz w:val="22"/>
          <w:szCs w:val="22"/>
        </w:rPr>
        <w:t>Esta competencia se relaciona con competencias propias de Química como son la CE.Q.2. al crear valor alrededor del concepto de producto y proceso químico siempre sobre la base de los modelos y leyes de la Química para informar a la sociedad de sus efectos positivos. Otra competencia con la que guarda relación es la CE.Q.5, ya que las dos centran su estrategia en valorar a la Química como ciencia al servicio de una sociedad basada en valores éticos y sostenibles.</w:t>
      </w:r>
    </w:p>
    <w:p>
      <w:pPr>
        <w:pStyle w:val="Normal"/>
        <w:rPr>
          <w:rFonts w:ascii="Arial" w:hAnsi="Arial"/>
          <w:sz w:val="20"/>
          <w:szCs w:val="20"/>
        </w:rPr>
      </w:pPr>
      <w:r>
        <w:rPr>
          <w:sz w:val="22"/>
          <w:szCs w:val="22"/>
        </w:rPr>
        <w:t>En cuanto a las competencias específicas relacionadas con otras materias, queda patente el vínculo con la CE.F.6 de la materia Física respecto a la importancia de estas ciencias en sus contribuciones al avance del conocimiento científico. Así mismo también es importante señalar la relación con la CE.B.4. de la materia de Biología en la que se describe la utilización de estrategias adecuadas para la explicación de fenómenos relacionados con las ciencias. </w:t>
      </w:r>
    </w:p>
    <w:p>
      <w:pPr>
        <w:pStyle w:val="Ttulo3"/>
        <w:rPr>
          <w:rFonts w:ascii="Arial" w:hAnsi="Arial"/>
          <w:sz w:val="20"/>
          <w:szCs w:val="20"/>
        </w:rPr>
      </w:pPr>
      <w:r>
        <w:rPr>
          <w:sz w:val="22"/>
          <w:szCs w:val="22"/>
        </w:rPr>
        <w:t>Vinculación con los descriptores de las competencias clave</w:t>
      </w:r>
    </w:p>
    <w:p>
      <w:pPr>
        <w:pStyle w:val="Normal"/>
        <w:rPr>
          <w:rFonts w:ascii="Arial" w:hAnsi="Arial"/>
          <w:sz w:val="20"/>
          <w:szCs w:val="20"/>
        </w:rPr>
      </w:pPr>
      <w:r>
        <w:rPr>
          <w:sz w:val="22"/>
          <w:szCs w:val="22"/>
        </w:rPr>
        <w:t>Esta competencia específica se conecta con los siguientes descriptores: STEM1, STEM5, CPSAA7, CE2.</w:t>
      </w:r>
    </w:p>
    <w:p>
      <w:pPr>
        <w:pStyle w:val="Ttulo2"/>
        <w:rPr>
          <w:rFonts w:ascii="Arial" w:hAnsi="Arial"/>
          <w:sz w:val="20"/>
          <w:szCs w:val="20"/>
        </w:rPr>
      </w:pPr>
      <w:r>
        <w:rPr>
          <w:sz w:val="22"/>
          <w:szCs w:val="22"/>
        </w:rPr>
        <w:t>Competencia específica de la materia Química 5:</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Arial" w:hAnsi="Arial"/>
          <w:sz w:val="20"/>
          <w:szCs w:val="20"/>
        </w:rPr>
      </w:pPr>
      <w:r>
        <w:rPr>
          <w:b/>
          <w:sz w:val="22"/>
          <w:szCs w:val="22"/>
        </w:rPr>
        <w:t xml:space="preserve">CE.Q.5. </w:t>
      </w:r>
      <w:r>
        <w:rPr>
          <w:sz w:val="22"/>
          <w:szCs w:val="22"/>
        </w:rPr>
        <w:t>Aplicar técnicas de trabajo propias de las ciencias experimentales y el razonamiento lógico-matemático en la resolución de problemas de Química y en la interpretación de situaciones relacionadas, valorando la importancia de la cooperación, para poner en valor el papel de la Química en una sociedad basada en valores éticos y sostenibles.</w:t>
      </w:r>
    </w:p>
    <w:p>
      <w:pPr>
        <w:pStyle w:val="Ttulo3"/>
        <w:rPr>
          <w:rFonts w:ascii="Arial" w:hAnsi="Arial"/>
          <w:sz w:val="20"/>
          <w:szCs w:val="20"/>
        </w:rPr>
      </w:pPr>
      <w:r>
        <w:rPr>
          <w:sz w:val="22"/>
          <w:szCs w:val="22"/>
        </w:rPr>
        <w:t>Descripción</w:t>
      </w:r>
    </w:p>
    <w:p>
      <w:pPr>
        <w:pStyle w:val="Normal"/>
        <w:rPr>
          <w:rFonts w:ascii="Arial" w:hAnsi="Arial"/>
          <w:sz w:val="20"/>
          <w:szCs w:val="20"/>
        </w:rPr>
      </w:pPr>
      <w:r>
        <w:rPr>
          <w:sz w:val="22"/>
          <w:szCs w:val="22"/>
        </w:rPr>
        <w:t>En toda actividad científica la colaboración entre diferentes individuos y entidades es fundamental para conseguir el progreso científico. Trabajar en equipo, utilizar con fluidez herramientas digitales y recursos variados y compartir los resultados de los estudios –respetando siempre la atribución de los mismos– repercute en un crecimiento notable de la investigación científica, pues el avance es cooperativo. Que haya una apuesta firme por la mejora de la investigación científica, con hombres y mujeres que deseen dedicarse a ella por vocación, es muy importante para nuestra sociedad actual pues implica la mejora de la calidad de vida, la tecnología y la salud, entre otras.</w:t>
      </w:r>
    </w:p>
    <w:p>
      <w:pPr>
        <w:pStyle w:val="Normal"/>
        <w:rPr>
          <w:rFonts w:ascii="Arial" w:hAnsi="Arial"/>
          <w:sz w:val="20"/>
          <w:szCs w:val="20"/>
        </w:rPr>
      </w:pPr>
      <w:r>
        <w:rPr>
          <w:sz w:val="22"/>
          <w:szCs w:val="22"/>
        </w:rPr>
        <w:t>El desarrollo de esta competencia específica persigue que el alumnado se habitúe desde esta etapa a trabajar de acuerdo a los principios básicos que se ponen en práctica en las ciencias experimentales y desarrolle una afinidad por la ciencia, por las personas que se dedican a ella y por las entidades que la llevan a cabo y que trabajan por vencer las desigualdades de género, orientación, creencia, etc. A su vez, adquirir destrezas en el uso del razonamiento científico les da la capacidad de interpretar y resolver situaciones problemáticas en diferentes contextos de la investigación, el mundo laboral y su realidad cotidiana.</w:t>
      </w:r>
    </w:p>
    <w:p>
      <w:pPr>
        <w:pStyle w:val="Ttulo3"/>
        <w:rPr>
          <w:rFonts w:ascii="Arial" w:hAnsi="Arial"/>
          <w:sz w:val="20"/>
          <w:szCs w:val="20"/>
        </w:rPr>
      </w:pPr>
      <w:r>
        <w:rPr>
          <w:sz w:val="22"/>
          <w:szCs w:val="22"/>
        </w:rPr>
        <w:t>Vinculación con otras competencias</w:t>
      </w:r>
    </w:p>
    <w:p>
      <w:pPr>
        <w:pStyle w:val="Normal"/>
        <w:rPr>
          <w:rFonts w:ascii="Arial" w:hAnsi="Arial"/>
          <w:sz w:val="20"/>
          <w:szCs w:val="20"/>
        </w:rPr>
      </w:pPr>
      <w:r>
        <w:rPr>
          <w:sz w:val="22"/>
          <w:szCs w:val="22"/>
        </w:rPr>
        <w:t>El uso del pensamiento científico para resolver problemas y explicar fenómenos relacionados con esta materia en un ambiente colaborativo de trabajo en equipo son las características que unen a esta competencia con competencias como la CE.Q.1. o la CE.Q.2. prestando un especial interés por la búsqueda de soluciones tecnológicas innovadoras y sostenibles para dar respuesta a necesidades concretas.</w:t>
      </w:r>
    </w:p>
    <w:p>
      <w:pPr>
        <w:pStyle w:val="Normal"/>
        <w:rPr>
          <w:rFonts w:ascii="Arial" w:hAnsi="Arial"/>
          <w:sz w:val="20"/>
          <w:szCs w:val="20"/>
        </w:rPr>
      </w:pPr>
      <w:r>
        <w:rPr>
          <w:sz w:val="22"/>
          <w:szCs w:val="22"/>
        </w:rPr>
        <w:t xml:space="preserve">En relación a otras materias, esta competencia se vincula con la CE.B.4 de Biología, la CE.F.1 de la materia de Física y con la CE.M.1 de la materia de Matemáticas, que priorizan la aplicación del pensamiento científico tomando como base el trabajo experimental y el razonamiento lógico-matemático para confirmar la relevancia de la ciencia en la explicación de fenómenos, en el desarrollo de la tecnología, de la sociedad y de la sostenibilidad ambiental. </w:t>
      </w:r>
    </w:p>
    <w:p>
      <w:pPr>
        <w:pStyle w:val="Ttulo3"/>
        <w:rPr>
          <w:rFonts w:ascii="Arial" w:hAnsi="Arial"/>
          <w:sz w:val="20"/>
          <w:szCs w:val="20"/>
        </w:rPr>
      </w:pPr>
      <w:r>
        <w:rPr>
          <w:sz w:val="22"/>
          <w:szCs w:val="22"/>
        </w:rPr>
        <w:t>Vinculación con los descriptores de las competencias clave</w:t>
      </w:r>
    </w:p>
    <w:p>
      <w:pPr>
        <w:pStyle w:val="Normal"/>
        <w:rPr>
          <w:rFonts w:ascii="Arial" w:hAnsi="Arial"/>
          <w:sz w:val="20"/>
          <w:szCs w:val="20"/>
        </w:rPr>
      </w:pPr>
      <w:r>
        <w:rPr>
          <w:sz w:val="22"/>
          <w:szCs w:val="22"/>
        </w:rPr>
        <w:t>Esta competencia específica se conecta con los siguientes descriptores: STEM1, STEM2, STEM3, CD1, CD3, CD5.</w:t>
      </w:r>
    </w:p>
    <w:p>
      <w:pPr>
        <w:pStyle w:val="Ttulo2"/>
        <w:rPr>
          <w:rFonts w:ascii="Arial" w:hAnsi="Arial"/>
          <w:sz w:val="20"/>
          <w:szCs w:val="20"/>
        </w:rPr>
      </w:pPr>
      <w:r>
        <w:rPr>
          <w:sz w:val="22"/>
          <w:szCs w:val="22"/>
        </w:rPr>
        <w:t>Competencia específica de la materia Química 6:</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Arial" w:hAnsi="Arial"/>
          <w:sz w:val="20"/>
          <w:szCs w:val="20"/>
        </w:rPr>
      </w:pPr>
      <w:r>
        <w:rPr>
          <w:b/>
          <w:sz w:val="22"/>
          <w:szCs w:val="22"/>
        </w:rPr>
        <w:t xml:space="preserve">CE.Q.6. </w:t>
      </w:r>
      <w:r>
        <w:rPr>
          <w:sz w:val="22"/>
          <w:szCs w:val="22"/>
        </w:rPr>
        <w:t>Reconocer y analizar la Química como una materia multidisciplinar y versátil, poniendo de manifiesto las relaciones con otras ciencias y campos de conocimiento, para realizar a través de ella una aproximación holística al conocimiento científico y global.</w:t>
      </w:r>
    </w:p>
    <w:p>
      <w:pPr>
        <w:pStyle w:val="Ttulo3"/>
        <w:rPr>
          <w:rFonts w:ascii="Arial" w:hAnsi="Arial"/>
          <w:sz w:val="20"/>
          <w:szCs w:val="20"/>
        </w:rPr>
      </w:pPr>
      <w:r>
        <w:rPr>
          <w:sz w:val="22"/>
          <w:szCs w:val="22"/>
        </w:rPr>
        <w:t>Descripción</w:t>
      </w:r>
    </w:p>
    <w:p>
      <w:pPr>
        <w:pStyle w:val="Normal"/>
        <w:rPr>
          <w:rFonts w:ascii="Arial" w:hAnsi="Arial"/>
          <w:sz w:val="20"/>
          <w:szCs w:val="20"/>
        </w:rPr>
      </w:pPr>
      <w:r>
        <w:rPr>
          <w:sz w:val="22"/>
          <w:szCs w:val="22"/>
        </w:rPr>
        <w:t>No es posible comprender profundamente los conceptos fundamentales de la Química sin conocer las leyes y teorías de otros campos de la ciencia relacionados con ella. De la misma forma, es necesario aplicar las ideas básicas</w:t>
      </w:r>
    </w:p>
    <w:p>
      <w:pPr>
        <w:pStyle w:val="Normal"/>
        <w:rPr>
          <w:rFonts w:ascii="Arial" w:hAnsi="Arial"/>
          <w:sz w:val="20"/>
          <w:szCs w:val="20"/>
        </w:rPr>
      </w:pPr>
      <w:r>
        <w:rPr>
          <w:sz w:val="22"/>
          <w:szCs w:val="22"/>
        </w:rPr>
        <w:t>de la Química para entender los fundamentos de otras disciplinas científicas. Al igual que la sociedad está profundamente interconectada, la Química no es una disciplina científica aislada, y las contribuciones de la Química al desarrollo de otras ciencias y campos de conocimiento (y viceversa) son imprescindibles para el progreso global de la ciencia, la tecnología y la sociedad.</w:t>
      </w:r>
    </w:p>
    <w:p>
      <w:pPr>
        <w:pStyle w:val="Normal"/>
        <w:rPr>
          <w:rFonts w:ascii="Arial" w:hAnsi="Arial"/>
          <w:sz w:val="20"/>
          <w:szCs w:val="20"/>
        </w:rPr>
      </w:pPr>
      <w:r>
        <w:rPr>
          <w:sz w:val="22"/>
          <w:szCs w:val="22"/>
        </w:rPr>
        <w:t>Para que el alumnado llegue a ser competente desarrollará su aprendizaje a través del estudio experimental y la observación de situaciones en las que se ponga de manifiesto esta relación interdisciplinar, la aplicación de herramientas tecnológicas en la indagación y la experimentación, y el empleo de herramientas matemáticas y el razonamiento lógico en la resolución de problemas propios de la Química. Esta base de carácter interdisciplinar y holístico que es inherente a la Química proporciona a los alumnos y a las alumnas que la estudian unos cimientos adecuados para que puedan continuar estudios en diferentes ramas de conocimiento, y a través de diferentes itinerarios formativos, lo que contribuye de forma eficiente a la formación de personas competentes para la sociedad.</w:t>
      </w:r>
    </w:p>
    <w:p>
      <w:pPr>
        <w:pStyle w:val="Ttulo3"/>
        <w:rPr>
          <w:rFonts w:ascii="Arial" w:hAnsi="Arial"/>
          <w:sz w:val="20"/>
          <w:szCs w:val="20"/>
        </w:rPr>
      </w:pPr>
      <w:r>
        <w:rPr>
          <w:sz w:val="22"/>
          <w:szCs w:val="22"/>
        </w:rPr>
        <w:t>Vinculación con otras competencias</w:t>
      </w:r>
    </w:p>
    <w:p>
      <w:pPr>
        <w:pStyle w:val="Normal"/>
        <w:rPr>
          <w:rFonts w:ascii="Arial" w:hAnsi="Arial"/>
          <w:sz w:val="20"/>
          <w:szCs w:val="20"/>
        </w:rPr>
      </w:pPr>
      <w:r>
        <w:rPr>
          <w:sz w:val="22"/>
          <w:szCs w:val="22"/>
        </w:rPr>
        <w:t>Esta competencia específica se relaciona con otras pertenecientes a la misma materia como la CE.Q.3 en cuanto a la necesidad de usar el lenguaje científico de manera apropiada y adecuada para producir información que permita mantener relaciones con otras ciencias y campos de conocimiento para la consecución de una concepción holística de la ciencia. </w:t>
      </w:r>
    </w:p>
    <w:p>
      <w:pPr>
        <w:pStyle w:val="Normal"/>
        <w:rPr>
          <w:rFonts w:ascii="Arial" w:hAnsi="Arial"/>
          <w:sz w:val="20"/>
          <w:szCs w:val="20"/>
        </w:rPr>
      </w:pPr>
      <w:r>
        <w:rPr>
          <w:sz w:val="22"/>
          <w:szCs w:val="22"/>
        </w:rPr>
        <w:t>En cuanto a la relación con las competencias de otras materias, se relaciona con CE.B.2 de la materia Biología, por la valoración de la aproximación de todo el conocimiento científico para poder explicar de forma más precisa el funcionamiento del medio natural y con la competencia CE.F.5 de la materia Física, por los objetivos que comparten en cuanto a alcanzar un desarrollo de la ciencia, la tecnología y la sociedad dentro de un marco respetuoso con el medio ambiente y con el ser humano. </w:t>
      </w:r>
    </w:p>
    <w:p>
      <w:pPr>
        <w:pStyle w:val="Ttulo3"/>
        <w:rPr>
          <w:rFonts w:ascii="Arial" w:hAnsi="Arial"/>
          <w:sz w:val="20"/>
          <w:szCs w:val="20"/>
        </w:rPr>
      </w:pPr>
      <w:r>
        <w:rPr>
          <w:sz w:val="22"/>
          <w:szCs w:val="22"/>
        </w:rPr>
        <w:t>Vinculación con los descriptores de las competencias clave</w:t>
      </w:r>
    </w:p>
    <w:p>
      <w:pPr>
        <w:pStyle w:val="Normal"/>
        <w:jc w:val="both"/>
        <w:rPr>
          <w:rFonts w:ascii="Arial" w:hAnsi="Arial"/>
          <w:sz w:val="20"/>
          <w:szCs w:val="20"/>
        </w:rPr>
      </w:pPr>
      <w:r>
        <w:rPr>
          <w:sz w:val="22"/>
          <w:szCs w:val="22"/>
        </w:rPr>
        <w:t>Esta competencia específica se conecta con los siguientes descriptores: STEM4, CPSAA6, CC4.</w:t>
      </w:r>
    </w:p>
    <w:p>
      <w:pPr>
        <w:pStyle w:val="Normal"/>
        <w:jc w:val="both"/>
        <w:rPr>
          <w:rFonts w:ascii="Calibri" w:hAnsi="Calibri"/>
          <w:sz w:val="22"/>
          <w:szCs w:val="22"/>
        </w:rPr>
      </w:pPr>
      <w:r>
        <w:rPr>
          <w:sz w:val="22"/>
          <w:szCs w:val="22"/>
        </w:rPr>
      </w:r>
    </w:p>
    <w:p>
      <w:pPr>
        <w:pStyle w:val="Ttulo1"/>
        <w:rPr>
          <w:rFonts w:ascii="Arial" w:hAnsi="Arial"/>
          <w:sz w:val="20"/>
          <w:szCs w:val="20"/>
        </w:rPr>
      </w:pPr>
      <w:r>
        <w:rPr>
          <w:sz w:val="22"/>
          <w:szCs w:val="22"/>
        </w:rPr>
        <w:t>II. Criterios de evaluación</w:t>
      </w:r>
    </w:p>
    <w:p>
      <w:pPr>
        <w:pStyle w:val="Normal"/>
        <w:rPr>
          <w:rFonts w:ascii="Arial" w:hAnsi="Arial"/>
          <w:sz w:val="20"/>
          <w:szCs w:val="20"/>
        </w:rPr>
      </w:pPr>
      <w:r>
        <w:rPr>
          <w:sz w:val="22"/>
          <w:szCs w:val="22"/>
        </w:rPr>
        <w:t>La evaluación debe constituir un proceso constante a lo largo del proceso de enseñanza/aprendizaje, que es necesario planificar. Los contenidos y procedimientos seleccionados para evaluar con finalidades calificadoras y los criterios de evaluación aplicados condicionan totalmente cómo el profesorado enseña y cómo el alumnado estudia y aprende. La evaluación no sólo mide los resultados, sino que condiciona qué se enseña y cómo, y muy especialmente qué aprenden los estudiantes o las estudiantes y cómo lo hacen. </w:t>
      </w:r>
    </w:p>
    <w:p>
      <w:pPr>
        <w:pStyle w:val="Normal"/>
        <w:rPr>
          <w:rFonts w:ascii="Arial" w:hAnsi="Arial"/>
          <w:sz w:val="20"/>
          <w:szCs w:val="20"/>
        </w:rPr>
      </w:pPr>
      <w:r>
        <w:rPr>
          <w:sz w:val="22"/>
          <w:szCs w:val="22"/>
        </w:rPr>
        <w:t>Las actividades de evaluación deberían tener como finalidad principal favorecer el proceso de regulación, es decir, que el alumnado consiga reconocer las diferencias entre lo que se propone y sus propias maneras de pensar o hacer. De esta manera, se ayuda a que los propios alumnos y las propias alumnas puedan detectar sus dificultades y dispongan de estrategias e instrumentos para superarlas. Si se realiza una buena evaluación con funciones reguladoras, se consigue que una proporción mayor de alumnado obtenga buenos resultados en las evaluaciones sumativas. No hay duda de que es difícil y en algunos casos no se consigue, pero la investigación en este campo demuestra que cuando se consigue, los resultados son mucho mejores (Sanmartí, 2007). </w:t>
      </w:r>
    </w:p>
    <w:p>
      <w:pPr>
        <w:pStyle w:val="Normal"/>
        <w:rPr>
          <w:rFonts w:ascii="Arial" w:hAnsi="Arial"/>
          <w:sz w:val="20"/>
          <w:szCs w:val="20"/>
        </w:rPr>
      </w:pPr>
      <w:r>
        <w:rPr>
          <w:sz w:val="22"/>
          <w:szCs w:val="22"/>
        </w:rPr>
        <w:t>Además, evaluar es una condición necesaria para mejorar la enseñanza. La evaluación es la actividad que más impulsa el cambio, ya que posibilita la toma de conciencia de unos hechos y el análisis de sus posibles causas y soluciones. Evaluar la enseñanza comporta (Sanmartí, 2007) por un lado, detectar la adecuación de sus objetivos a una determinada realidad escolar, y la coherencia, con relación a dicho objetivos, de los contenidos, actividades de enseñanza seleccionadas y criterios de evaluación aplicados. Por otro, emitir juicios sobre los aspectos que conviene reforzar y sobre las posibles causas de las incoherencias detectadas. Y finalmente, tomar decisiones sobre cómo innovar para superar las deficiencias observadas.</w:t>
      </w:r>
    </w:p>
    <w:tbl>
      <w:tblPr>
        <w:tblW w:w="10485" w:type="dxa"/>
        <w:jc w:val="left"/>
        <w:tblInd w:w="0" w:type="dxa"/>
        <w:tblCellMar>
          <w:top w:w="0" w:type="dxa"/>
          <w:left w:w="108" w:type="dxa"/>
          <w:bottom w:w="0" w:type="dxa"/>
          <w:right w:w="108" w:type="dxa"/>
        </w:tblCellMar>
        <w:tblLook w:firstRow="1" w:noVBand="1" w:lastRow="0" w:firstColumn="1" w:lastColumn="0" w:noHBand="0" w:val="04a0"/>
      </w:tblPr>
      <w:tblGrid>
        <w:gridCol w:w="10485"/>
      </w:tblGrid>
      <w:tr>
        <w:trPr/>
        <w:tc>
          <w:tcPr>
            <w:tcW w:w="10485" w:type="dxa"/>
            <w:tcBorders/>
            <w:shd w:color="auto" w:fill="92CDDC" w:themeFill="accent5" w:themeFillTint="99" w:val="clear"/>
          </w:tcPr>
          <w:p>
            <w:pPr>
              <w:pStyle w:val="Normal"/>
              <w:widowControl w:val="false"/>
              <w:spacing w:lineRule="auto" w:line="240" w:before="0" w:after="0"/>
              <w:jc w:val="center"/>
              <w:rPr>
                <w:rFonts w:ascii="Arial" w:hAnsi="Arial"/>
                <w:sz w:val="20"/>
                <w:szCs w:val="20"/>
              </w:rPr>
            </w:pPr>
            <w:r>
              <w:rPr>
                <w:b/>
                <w:sz w:val="22"/>
                <w:szCs w:val="22"/>
              </w:rPr>
              <w:t>CE.Q.1</w:t>
            </w:r>
          </w:p>
        </w:tc>
      </w:tr>
      <w:tr>
        <w:trPr/>
        <w:tc>
          <w:tcPr>
            <w:tcW w:w="10485" w:type="dxa"/>
            <w:tcBorders/>
            <w:shd w:color="auto" w:fill="DBE5F1" w:themeFill="accent1" w:themeFillTint="33" w:val="clear"/>
          </w:tcPr>
          <w:p>
            <w:pPr>
              <w:pStyle w:val="Normal"/>
              <w:widowControl w:val="false"/>
              <w:spacing w:lineRule="auto" w:line="240" w:before="0" w:after="0"/>
              <w:rPr>
                <w:rFonts w:ascii="Arial" w:hAnsi="Arial"/>
                <w:sz w:val="20"/>
                <w:szCs w:val="20"/>
              </w:rPr>
            </w:pPr>
            <w:r>
              <w:rPr>
                <w:i/>
                <w:sz w:val="22"/>
                <w:szCs w:val="22"/>
              </w:rPr>
              <w:t>Comprender, describir y aplicar los fundamentos de los procesos químicos más importantes, atendiendo a su base experimental y a los fenómenos que describen, para reconocer el papel relevante de la Química en el desarrollo de la sociedad.</w:t>
            </w:r>
          </w:p>
        </w:tc>
      </w:tr>
      <w:tr>
        <w:trPr/>
        <w:tc>
          <w:tcPr>
            <w:tcW w:w="10485" w:type="dxa"/>
            <w:tcBorders/>
            <w:shd w:color="auto" w:fill="auto" w:val="clear"/>
          </w:tcPr>
          <w:p>
            <w:pPr>
              <w:pStyle w:val="Normal"/>
              <w:widowControl w:val="false"/>
              <w:spacing w:lineRule="auto" w:line="240" w:before="0" w:after="0"/>
              <w:rPr>
                <w:rFonts w:ascii="Arial" w:hAnsi="Arial"/>
                <w:sz w:val="20"/>
                <w:szCs w:val="2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rFonts w:ascii="Arial" w:hAnsi="Arial"/>
                <w:sz w:val="20"/>
                <w:szCs w:val="2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rFonts w:ascii="Arial" w:hAnsi="Arial"/>
                <w:sz w:val="20"/>
                <w:szCs w:val="2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tc>
      </w:tr>
      <w:tr>
        <w:trPr/>
        <w:tc>
          <w:tcPr>
            <w:tcW w:w="10485" w:type="dxa"/>
            <w:tcBorders/>
            <w:shd w:color="auto" w:fill="92CDDC" w:themeFill="accent5" w:themeFillTint="99" w:val="clear"/>
          </w:tcPr>
          <w:p>
            <w:pPr>
              <w:pStyle w:val="Normal"/>
              <w:widowControl w:val="false"/>
              <w:spacing w:lineRule="auto" w:line="240" w:before="0" w:after="0"/>
              <w:jc w:val="center"/>
              <w:rPr>
                <w:rFonts w:ascii="Arial" w:hAnsi="Arial"/>
                <w:sz w:val="20"/>
                <w:szCs w:val="20"/>
              </w:rPr>
            </w:pPr>
            <w:r>
              <w:rPr>
                <w:b/>
                <w:sz w:val="22"/>
                <w:szCs w:val="22"/>
              </w:rPr>
              <w:t>CE.Q.2</w:t>
            </w:r>
          </w:p>
        </w:tc>
      </w:tr>
      <w:tr>
        <w:trPr/>
        <w:tc>
          <w:tcPr>
            <w:tcW w:w="10485" w:type="dxa"/>
            <w:tcBorders/>
            <w:shd w:color="auto" w:fill="DBE5F1" w:themeFill="accent1" w:themeFillTint="33" w:val="clear"/>
          </w:tcPr>
          <w:p>
            <w:pPr>
              <w:pStyle w:val="Normal"/>
              <w:widowControl w:val="false"/>
              <w:spacing w:lineRule="auto" w:line="240" w:before="0" w:after="0"/>
              <w:rPr>
                <w:rFonts w:ascii="Arial" w:hAnsi="Arial"/>
                <w:sz w:val="20"/>
                <w:szCs w:val="20"/>
              </w:rPr>
            </w:pPr>
            <w:r>
              <w:rPr>
                <w:i/>
                <w:sz w:val="22"/>
                <w:szCs w:val="22"/>
              </w:rPr>
              <w:t>Adoptar los modelos y leyes de la Química aceptados como base de estudio de las propiedades de los sistemas materiales, para inferir soluciones generales a los problemas cotidianos relacionados con las aplicaciones prácticas de la Química y sus repercusiones en el medioambiente.</w:t>
            </w:r>
          </w:p>
        </w:tc>
      </w:tr>
      <w:tr>
        <w:trPr/>
        <w:tc>
          <w:tcPr>
            <w:tcW w:w="10485" w:type="dxa"/>
            <w:tcBorders/>
            <w:shd w:color="auto" w:fill="auto" w:val="clear"/>
          </w:tcPr>
          <w:p>
            <w:pPr>
              <w:pStyle w:val="Normal"/>
              <w:widowControl w:val="false"/>
              <w:spacing w:lineRule="auto" w:line="240" w:before="0" w:after="0"/>
              <w:rPr>
                <w:rFonts w:ascii="Arial" w:hAnsi="Arial"/>
                <w:sz w:val="20"/>
                <w:szCs w:val="2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rFonts w:ascii="Arial" w:hAnsi="Arial"/>
                <w:sz w:val="20"/>
                <w:szCs w:val="2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rFonts w:ascii="Arial" w:hAnsi="Arial"/>
                <w:sz w:val="20"/>
                <w:szCs w:val="20"/>
              </w:rPr>
            </w:pPr>
            <w:r>
              <w:rPr>
                <w:sz w:val="22"/>
                <w:szCs w:val="22"/>
              </w:rPr>
              <w:t>de estudio y discusión</w:t>
            </w:r>
          </w:p>
          <w:p>
            <w:pPr>
              <w:pStyle w:val="Normal"/>
              <w:widowControl w:val="false"/>
              <w:spacing w:lineRule="auto" w:line="240" w:before="0" w:after="0"/>
              <w:rPr>
                <w:rFonts w:ascii="Arial" w:hAnsi="Arial"/>
                <w:sz w:val="20"/>
                <w:szCs w:val="2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rFonts w:ascii="Arial" w:hAnsi="Arial"/>
                <w:sz w:val="20"/>
                <w:szCs w:val="20"/>
              </w:rPr>
            </w:pPr>
            <w:r>
              <w:rPr>
                <w:sz w:val="22"/>
                <w:szCs w:val="22"/>
              </w:rPr>
              <w:t>en dichos ámbitos.</w:t>
            </w:r>
          </w:p>
          <w:p>
            <w:pPr>
              <w:pStyle w:val="Normal"/>
              <w:widowControl w:val="false"/>
              <w:spacing w:lineRule="auto" w:line="240" w:before="0" w:after="0"/>
              <w:rPr>
                <w:rFonts w:ascii="Arial" w:hAnsi="Arial"/>
                <w:sz w:val="20"/>
                <w:szCs w:val="2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rFonts w:ascii="Arial" w:hAnsi="Arial"/>
                <w:sz w:val="20"/>
                <w:szCs w:val="20"/>
              </w:rPr>
            </w:pPr>
            <w:r>
              <w:rPr>
                <w:sz w:val="22"/>
                <w:szCs w:val="22"/>
              </w:rPr>
              <w:t>consecuencias de experimentos, fenómenos naturales, procesos industriales y descubrimientos científicos.</w:t>
            </w:r>
          </w:p>
        </w:tc>
      </w:tr>
      <w:tr>
        <w:trPr/>
        <w:tc>
          <w:tcPr>
            <w:tcW w:w="10485" w:type="dxa"/>
            <w:tcBorders/>
            <w:shd w:color="auto" w:fill="92CDDC" w:themeFill="accent5" w:themeFillTint="99" w:val="clear"/>
          </w:tcPr>
          <w:p>
            <w:pPr>
              <w:pStyle w:val="Normal"/>
              <w:widowControl w:val="false"/>
              <w:spacing w:lineRule="auto" w:line="240" w:before="0" w:after="0"/>
              <w:jc w:val="center"/>
              <w:rPr>
                <w:rFonts w:ascii="Arial" w:hAnsi="Arial"/>
                <w:sz w:val="20"/>
                <w:szCs w:val="20"/>
              </w:rPr>
            </w:pPr>
            <w:r>
              <w:rPr>
                <w:b/>
                <w:sz w:val="22"/>
                <w:szCs w:val="22"/>
              </w:rPr>
              <w:t>CE.Q.3</w:t>
            </w:r>
          </w:p>
        </w:tc>
      </w:tr>
      <w:tr>
        <w:trPr/>
        <w:tc>
          <w:tcPr>
            <w:tcW w:w="10485" w:type="dxa"/>
            <w:tcBorders/>
            <w:shd w:color="auto" w:fill="DBE5F1" w:themeFill="accent1" w:themeFillTint="33" w:val="clear"/>
          </w:tcPr>
          <w:p>
            <w:pPr>
              <w:pStyle w:val="Normal"/>
              <w:widowControl w:val="false"/>
              <w:spacing w:lineRule="auto" w:line="240" w:before="0" w:after="0"/>
              <w:ind w:left="-283" w:right="227" w:hanging="0"/>
              <w:rPr>
                <w:rFonts w:ascii="Arial" w:hAnsi="Arial"/>
                <w:sz w:val="20"/>
                <w:szCs w:val="20"/>
              </w:rPr>
            </w:pPr>
            <w:r>
              <w:rPr>
                <w:i/>
                <w:sz w:val="22"/>
                <w:szCs w:val="22"/>
              </w:rPr>
              <w:t>Utilizar con corrección los códigos del lenguaje químico (nomenclatura Química, unidades, ecuaciones, etc.), aplicando sus reglas específicas, para emplearlos como base de una comunicación adecuada entre diferentes comunidades científicas y herramienta fundamental en la investigación de esta ciencia.</w:t>
            </w:r>
          </w:p>
        </w:tc>
      </w:tr>
      <w:tr>
        <w:trPr/>
        <w:tc>
          <w:tcPr>
            <w:tcW w:w="10485" w:type="dxa"/>
            <w:tcBorders/>
            <w:shd w:color="auto" w:fill="auto" w:val="clear"/>
          </w:tcPr>
          <w:p>
            <w:pPr>
              <w:pStyle w:val="Normal"/>
              <w:widowControl w:val="false"/>
              <w:spacing w:lineRule="auto" w:line="240" w:before="0" w:after="0"/>
              <w:rPr>
                <w:rFonts w:ascii="Arial" w:hAnsi="Arial"/>
                <w:sz w:val="20"/>
                <w:szCs w:val="20"/>
              </w:rPr>
            </w:pPr>
            <w:r>
              <w:rPr>
                <w:sz w:val="22"/>
                <w:szCs w:val="22"/>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
              <w:widowControl w:val="false"/>
              <w:spacing w:lineRule="auto" w:line="240" w:before="0" w:after="0"/>
              <w:rPr>
                <w:rFonts w:ascii="Arial" w:hAnsi="Arial"/>
                <w:sz w:val="20"/>
                <w:szCs w:val="2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rFonts w:ascii="Arial" w:hAnsi="Arial"/>
                <w:sz w:val="20"/>
                <w:szCs w:val="20"/>
              </w:rPr>
            </w:pPr>
            <w:r>
              <w:rPr>
                <w:sz w:val="22"/>
                <w:szCs w:val="22"/>
              </w:rPr>
              <w:t>3.3. Practicar y hacer respetar las normas de seguridad relacionadas con la manipulación de sustancias Químicas en el laboratorio y</w:t>
            </w:r>
          </w:p>
          <w:p>
            <w:pPr>
              <w:pStyle w:val="Normal"/>
              <w:widowControl w:val="false"/>
              <w:spacing w:lineRule="auto" w:line="240" w:before="0" w:after="0"/>
              <w:rPr>
                <w:rFonts w:ascii="Arial" w:hAnsi="Arial"/>
                <w:sz w:val="20"/>
                <w:szCs w:val="20"/>
              </w:rPr>
            </w:pPr>
            <w:r>
              <w:rPr>
                <w:sz w:val="22"/>
                <w:szCs w:val="22"/>
              </w:rPr>
              <w:t xml:space="preserve"> </w:t>
            </w:r>
            <w:r>
              <w:rPr>
                <w:sz w:val="22"/>
                <w:szCs w:val="22"/>
              </w:rPr>
              <w:t>en otros entornos, así como los procedimientos para la correcta gestión y eliminación de los residuos, utilizando correctamente los códigos de comunicación característicos de la Química.</w:t>
            </w:r>
          </w:p>
        </w:tc>
      </w:tr>
      <w:tr>
        <w:trPr/>
        <w:tc>
          <w:tcPr>
            <w:tcW w:w="10485" w:type="dxa"/>
            <w:tcBorders/>
            <w:shd w:color="auto" w:fill="92CDDC" w:themeFill="accent5" w:themeFillTint="99" w:val="clear"/>
          </w:tcPr>
          <w:p>
            <w:pPr>
              <w:pStyle w:val="Normal"/>
              <w:widowControl w:val="false"/>
              <w:spacing w:lineRule="auto" w:line="240" w:before="0" w:after="0"/>
              <w:jc w:val="center"/>
              <w:rPr>
                <w:rFonts w:ascii="Arial" w:hAnsi="Arial"/>
                <w:sz w:val="20"/>
                <w:szCs w:val="20"/>
              </w:rPr>
            </w:pPr>
            <w:r>
              <w:rPr>
                <w:b/>
                <w:sz w:val="22"/>
                <w:szCs w:val="22"/>
              </w:rPr>
              <w:t>CE.Q.4</w:t>
            </w:r>
          </w:p>
        </w:tc>
      </w:tr>
      <w:tr>
        <w:trPr/>
        <w:tc>
          <w:tcPr>
            <w:tcW w:w="10485" w:type="dxa"/>
            <w:tcBorders/>
            <w:shd w:color="auto" w:fill="DBE5F1" w:themeFill="accent1" w:themeFillTint="33" w:val="clear"/>
          </w:tcPr>
          <w:p>
            <w:pPr>
              <w:pStyle w:val="Normal"/>
              <w:widowControl w:val="false"/>
              <w:spacing w:lineRule="auto" w:line="240" w:before="0" w:after="0"/>
              <w:rPr>
                <w:rFonts w:ascii="Arial" w:hAnsi="Arial"/>
                <w:sz w:val="20"/>
                <w:szCs w:val="20"/>
              </w:rPr>
            </w:pPr>
            <w:r>
              <w:rPr>
                <w:i/>
                <w:sz w:val="22"/>
                <w:szCs w:val="22"/>
              </w:rPr>
              <w:t>Reconocer la importancia del uso responsable de los productos y procesos químicos, elaborando argumentos informados sobre la influencia positiva que la Química tiene sobre la sociedad actual, para contribuir a superar las connotaciones negativas que en multitud de ocasiones se atribuyen al término “químico”.</w:t>
            </w:r>
          </w:p>
        </w:tc>
      </w:tr>
      <w:tr>
        <w:trPr/>
        <w:tc>
          <w:tcPr>
            <w:tcW w:w="10485" w:type="dxa"/>
            <w:tcBorders/>
            <w:shd w:color="auto" w:fill="auto" w:val="clear"/>
          </w:tcPr>
          <w:p>
            <w:pPr>
              <w:pStyle w:val="Normal"/>
              <w:widowControl w:val="false"/>
              <w:spacing w:lineRule="auto" w:line="240" w:before="0" w:after="0"/>
              <w:rPr>
                <w:rFonts w:ascii="Arial" w:hAnsi="Arial"/>
                <w:sz w:val="20"/>
                <w:szCs w:val="2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rFonts w:ascii="Arial" w:hAnsi="Arial"/>
                <w:sz w:val="20"/>
                <w:szCs w:val="2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Arial" w:hAnsi="Arial"/>
                <w:sz w:val="20"/>
                <w:szCs w:val="20"/>
              </w:rPr>
            </w:pPr>
            <w:r>
              <w:rPr>
                <w:sz w:val="22"/>
                <w:szCs w:val="22"/>
              </w:rPr>
              <w:t>4.3. Explicar, empleando los conocimientos científicos adecuados, cuáles son los beneficios de los numerosos productos de la tecnología Química y cómo su empleo y aplicación han contribuido al progreso de la sociedad.</w:t>
            </w:r>
          </w:p>
        </w:tc>
      </w:tr>
      <w:tr>
        <w:trPr/>
        <w:tc>
          <w:tcPr>
            <w:tcW w:w="10485" w:type="dxa"/>
            <w:tcBorders/>
            <w:shd w:color="auto" w:fill="92CDDC" w:themeFill="accent5" w:themeFillTint="99" w:val="clear"/>
          </w:tcPr>
          <w:p>
            <w:pPr>
              <w:pStyle w:val="Normal"/>
              <w:widowControl w:val="false"/>
              <w:spacing w:lineRule="auto" w:line="240" w:before="0" w:after="0"/>
              <w:jc w:val="center"/>
              <w:rPr>
                <w:rFonts w:ascii="Arial" w:hAnsi="Arial"/>
                <w:sz w:val="20"/>
                <w:szCs w:val="20"/>
              </w:rPr>
            </w:pPr>
            <w:r>
              <w:rPr>
                <w:b/>
                <w:sz w:val="22"/>
                <w:szCs w:val="22"/>
              </w:rPr>
              <w:t>CE.Q.5</w:t>
            </w:r>
          </w:p>
        </w:tc>
      </w:tr>
      <w:tr>
        <w:trPr/>
        <w:tc>
          <w:tcPr>
            <w:tcW w:w="10485" w:type="dxa"/>
            <w:tcBorders/>
            <w:shd w:color="auto" w:fill="DBE5F1" w:themeFill="accent1" w:themeFillTint="33" w:val="clear"/>
          </w:tcPr>
          <w:p>
            <w:pPr>
              <w:pStyle w:val="Normal"/>
              <w:widowControl w:val="false"/>
              <w:spacing w:lineRule="auto" w:line="240" w:before="0" w:after="0"/>
              <w:rPr>
                <w:rFonts w:ascii="Arial" w:hAnsi="Arial"/>
                <w:sz w:val="20"/>
                <w:szCs w:val="20"/>
              </w:rPr>
            </w:pPr>
            <w:r>
              <w:rPr>
                <w:i/>
                <w:sz w:val="22"/>
                <w:szCs w:val="22"/>
              </w:rPr>
              <w:t>Aplicar técnicas de trabajo propias de las ciencias experimentales y el razonamiento lógico-matemático en la resolución de problemas de Química y en la interpretación de situaciones relacionadas, valorando la importancia de la cooperación, para poner en valor el papel de la Química en una sociedad basada en valores éticos y sostenibles.</w:t>
            </w:r>
          </w:p>
        </w:tc>
      </w:tr>
      <w:tr>
        <w:trPr/>
        <w:tc>
          <w:tcPr>
            <w:tcW w:w="10485" w:type="dxa"/>
            <w:tcBorders/>
            <w:shd w:color="auto" w:fill="auto" w:val="clear"/>
          </w:tcPr>
          <w:p>
            <w:pPr>
              <w:pStyle w:val="Normal"/>
              <w:widowControl w:val="false"/>
              <w:spacing w:lineRule="auto" w:line="240" w:before="0" w:after="0"/>
              <w:rPr>
                <w:rFonts w:ascii="Arial" w:hAnsi="Arial"/>
                <w:sz w:val="20"/>
                <w:szCs w:val="2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rFonts w:ascii="Arial" w:hAnsi="Arial"/>
                <w:sz w:val="20"/>
                <w:szCs w:val="2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rFonts w:ascii="Arial" w:hAnsi="Arial"/>
                <w:sz w:val="20"/>
                <w:szCs w:val="2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rFonts w:ascii="Arial" w:hAnsi="Arial"/>
                <w:sz w:val="20"/>
                <w:szCs w:val="20"/>
              </w:rPr>
            </w:pPr>
            <w:r>
              <w:rPr>
                <w:sz w:val="22"/>
                <w:szCs w:val="22"/>
              </w:rPr>
              <w:t>5.4. Representar y visualizar de forma eficiente los conceptos de Química que presenten mayores dificultades utilizando herramientas digitales y recursos variados, incluyendo experiencias de laboratorio real y virtual.</w:t>
            </w:r>
          </w:p>
        </w:tc>
      </w:tr>
      <w:tr>
        <w:trPr/>
        <w:tc>
          <w:tcPr>
            <w:tcW w:w="10485" w:type="dxa"/>
            <w:tcBorders/>
            <w:shd w:color="auto" w:fill="92CDDC" w:themeFill="accent5" w:themeFillTint="99" w:val="clear"/>
          </w:tcPr>
          <w:p>
            <w:pPr>
              <w:pStyle w:val="Normal"/>
              <w:widowControl w:val="false"/>
              <w:spacing w:lineRule="auto" w:line="240" w:before="0" w:after="0"/>
              <w:jc w:val="center"/>
              <w:rPr>
                <w:rFonts w:ascii="Arial" w:hAnsi="Arial"/>
                <w:sz w:val="20"/>
                <w:szCs w:val="20"/>
              </w:rPr>
            </w:pPr>
            <w:r>
              <w:rPr>
                <w:b/>
                <w:sz w:val="22"/>
                <w:szCs w:val="22"/>
              </w:rPr>
              <w:t>CE.Q.6</w:t>
            </w:r>
          </w:p>
        </w:tc>
      </w:tr>
      <w:tr>
        <w:trPr/>
        <w:tc>
          <w:tcPr>
            <w:tcW w:w="10485" w:type="dxa"/>
            <w:tcBorders/>
            <w:shd w:color="auto" w:fill="DBE5F1" w:themeFill="accent1" w:themeFillTint="33" w:val="clear"/>
          </w:tcPr>
          <w:p>
            <w:pPr>
              <w:pStyle w:val="Normal"/>
              <w:widowControl w:val="false"/>
              <w:spacing w:lineRule="auto" w:line="240" w:before="0" w:after="0"/>
              <w:rPr>
                <w:rFonts w:ascii="Arial" w:hAnsi="Arial"/>
                <w:sz w:val="20"/>
                <w:szCs w:val="20"/>
              </w:rPr>
            </w:pPr>
            <w:r>
              <w:rPr>
                <w:i/>
                <w:sz w:val="22"/>
                <w:szCs w:val="22"/>
              </w:rPr>
              <w:t>Reconocer y analizar la Química como una materia multidisciplinar y versátil, poniendo de manifiesto las relaciones con otras ciencias y campos de conocimiento, para realizar a través de ella una aproximación holística al conocimiento científico y global.</w:t>
            </w:r>
          </w:p>
        </w:tc>
      </w:tr>
      <w:tr>
        <w:trPr/>
        <w:tc>
          <w:tcPr>
            <w:tcW w:w="10485" w:type="dxa"/>
            <w:tcBorders/>
            <w:shd w:color="auto" w:fill="auto" w:val="clear"/>
          </w:tcPr>
          <w:p>
            <w:pPr>
              <w:pStyle w:val="Normal"/>
              <w:widowControl w:val="false"/>
              <w:spacing w:lineRule="auto" w:line="240" w:before="0" w:after="0"/>
              <w:rPr>
                <w:rFonts w:ascii="Arial" w:hAnsi="Arial"/>
                <w:sz w:val="20"/>
                <w:szCs w:val="2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bookmarkStart w:id="4" w:name="__DdeLink__1409_1761028890"/>
            <w:bookmarkEnd w:id="4"/>
          </w:p>
          <w:p>
            <w:pPr>
              <w:pStyle w:val="Normal"/>
              <w:widowControl w:val="false"/>
              <w:spacing w:lineRule="auto" w:line="240" w:before="0" w:after="0"/>
              <w:rPr>
                <w:rFonts w:ascii="Arial" w:hAnsi="Arial"/>
                <w:sz w:val="20"/>
                <w:szCs w:val="2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rFonts w:ascii="Arial" w:hAnsi="Arial"/>
                <w:sz w:val="20"/>
                <w:szCs w:val="2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bookmarkStart w:id="5" w:name="__DdeLink__1414_1761028890"/>
            <w:bookmarkEnd w:id="5"/>
          </w:p>
        </w:tc>
      </w:tr>
    </w:tbl>
    <w:p>
      <w:pPr>
        <w:pStyle w:val="Ttulo1"/>
        <w:jc w:val="both"/>
        <w:rPr>
          <w:rFonts w:ascii="Calibri" w:hAnsi="Calibri"/>
          <w:sz w:val="22"/>
          <w:szCs w:val="22"/>
        </w:rPr>
      </w:pPr>
      <w:r>
        <w:rPr>
          <w:sz w:val="22"/>
          <w:szCs w:val="22"/>
        </w:rPr>
      </w:r>
    </w:p>
    <w:p>
      <w:pPr>
        <w:pStyle w:val="Normal"/>
        <w:jc w:val="both"/>
        <w:rPr>
          <w:rFonts w:ascii="Arial" w:hAnsi="Arial"/>
          <w:sz w:val="20"/>
          <w:szCs w:val="20"/>
        </w:rPr>
      </w:pPr>
      <w:r>
        <w:rPr>
          <w:rFonts w:eastAsia="Cambria" w:cs="Cambria"/>
          <w:b/>
          <w:sz w:val="22"/>
          <w:szCs w:val="22"/>
          <w:u w:val="single"/>
        </w:rPr>
        <w:t>2. CONCRECIÓN, AGRUPAMIENTO Y SECUENCIACIÓN DE LOS SABERES BÁSICOS Y DE LOS CRITERIOS DE EVALUACIÓN EN UNIDADES DIDÁCTICAS</w:t>
      </w:r>
    </w:p>
    <w:p>
      <w:pPr>
        <w:pStyle w:val="Ttulo1"/>
        <w:rPr>
          <w:rFonts w:ascii="Arial" w:hAnsi="Arial"/>
          <w:sz w:val="20"/>
          <w:szCs w:val="20"/>
        </w:rPr>
      </w:pPr>
      <w:r>
        <w:rPr>
          <w:sz w:val="22"/>
          <w:szCs w:val="22"/>
        </w:rPr>
        <w:t>III. Saberes básicos</w:t>
      </w:r>
    </w:p>
    <w:p>
      <w:pPr>
        <w:pStyle w:val="Ttulo2"/>
        <w:rPr>
          <w:rFonts w:ascii="Arial" w:hAnsi="Arial"/>
          <w:sz w:val="20"/>
          <w:szCs w:val="20"/>
        </w:rPr>
      </w:pPr>
      <w:r>
        <w:rPr>
          <w:sz w:val="22"/>
          <w:szCs w:val="22"/>
        </w:rPr>
        <w:t>III.1. Descripción de los diferentes bloques en los que se estructuran los saberes básicos</w:t>
      </w:r>
    </w:p>
    <w:p>
      <w:pPr>
        <w:pStyle w:val="Ttulo3"/>
        <w:rPr>
          <w:rFonts w:ascii="Arial" w:hAnsi="Arial"/>
          <w:sz w:val="20"/>
          <w:szCs w:val="20"/>
        </w:rPr>
      </w:pPr>
      <w:r>
        <w:rPr>
          <w:sz w:val="22"/>
          <w:szCs w:val="22"/>
        </w:rPr>
        <w:t>A. Enlace químico y estructura de la materia</w:t>
      </w:r>
    </w:p>
    <w:p>
      <w:pPr>
        <w:pStyle w:val="Normal"/>
        <w:rPr>
          <w:rFonts w:ascii="Arial" w:hAnsi="Arial"/>
          <w:sz w:val="20"/>
          <w:szCs w:val="20"/>
        </w:rPr>
      </w:pPr>
      <w:r>
        <w:rPr>
          <w:sz w:val="22"/>
          <w:szCs w:val="22"/>
        </w:rPr>
        <w:t>Como saber básico, la comprensión de la estructura de la materia es uno de los pilares fundamentales de la Química ya que de su correcta comprensión depende que el alumnado pueda tener éxito en ésta y en otras disciplinas científicas como, por ejemplo, la Biología. Así mismo es un concepto esencial en otras partes de la Química como son las reacciones químicas, la Química del carbono, los ácidos y bases o la termodinámica. Lamentablemente, la complejidad de esta parte de la Química, por el alto nivel de abstracción que exige, hace que su enseñanza y asimilación por parte del alumnado sea una tarea complicada.</w:t>
      </w:r>
    </w:p>
    <w:p>
      <w:pPr>
        <w:pStyle w:val="Normal"/>
        <w:rPr>
          <w:rFonts w:ascii="Arial" w:hAnsi="Arial"/>
          <w:sz w:val="20"/>
          <w:szCs w:val="20"/>
        </w:rPr>
      </w:pPr>
      <w:r>
        <w:rPr>
          <w:sz w:val="22"/>
          <w:szCs w:val="22"/>
        </w:rPr>
        <w:t>La comprensión del comportamiento de la materia a través de sus propiedades físicas y Químicas, se sustenta en el entendimiento de su estructura interna, la cual está íntimamente ligada a su comportamiento a nivel macroscópico. Como ya se aprecia en el currículo de secundaria, los niveles microscópico y macroscópico están estrechamente relacionados, lo cual ayuda a que el alumnado de 2º de Bachillerato parta de este conocimiento para abordar la estructura de la materia de forma más detallada. </w:t>
      </w:r>
    </w:p>
    <w:p>
      <w:pPr>
        <w:pStyle w:val="Normal"/>
        <w:rPr>
          <w:rFonts w:ascii="Arial" w:hAnsi="Arial"/>
          <w:sz w:val="20"/>
          <w:szCs w:val="20"/>
        </w:rPr>
      </w:pPr>
      <w:r>
        <w:rPr>
          <w:sz w:val="22"/>
          <w:szCs w:val="22"/>
        </w:rPr>
        <w:t>En este bloque se comienza con una introducción histórica en la que se hace referencia a la evolución del modelo atómico para terminar con el estudio del modelo mecanocuántico del átomo. Posteriormente se analiza la estructura electrónica interna del átomo y se relaciona con los elementos de la Tabla Periódica y con las propiedades periódicas de los mismos. Finalmente, se aborda el concepto de enlace, describiendo todos los tipos a través de los modelos de orbitales, la Teoría TRPECV, el ciclo de Born-Haber y la teoría de bandas. </w:t>
      </w:r>
    </w:p>
    <w:p>
      <w:pPr>
        <w:pStyle w:val="Normal"/>
        <w:rPr>
          <w:rFonts w:ascii="Arial" w:hAnsi="Arial"/>
          <w:sz w:val="20"/>
          <w:szCs w:val="20"/>
        </w:rPr>
      </w:pPr>
      <w:r>
        <w:rPr>
          <w:sz w:val="22"/>
          <w:szCs w:val="22"/>
        </w:rPr>
        <w:t>Como ya se ha indicado, el alto grado de abstracción que requiere entender los fundamentos de esta parte de la Química, obliga a que su implementación tenga lugar en este curso. Con este propósito y con el de proporcionar al alumnado las habilidades experimentales propias de esta materia, se proponen una serie de actividades experimentales sencillas pero necesarias para desarrollar el interés por la asignatura y fomentar las técnicas de trabajo propias del pensamiento científico. Por otra parte, y debido a la complejidad del tema, resulta muy adecuada la utilización de simuladores para que el alumnado sea capaz de visualizar el comportamiento del átomo y de las partículas subatómicas. </w:t>
      </w:r>
    </w:p>
    <w:p>
      <w:pPr>
        <w:pStyle w:val="Normal"/>
        <w:rPr>
          <w:rFonts w:ascii="Arial" w:hAnsi="Arial"/>
          <w:sz w:val="20"/>
          <w:szCs w:val="20"/>
        </w:rPr>
      </w:pPr>
      <w:r>
        <w:rPr>
          <w:sz w:val="22"/>
          <w:szCs w:val="22"/>
        </w:rPr>
        <w:t>Las conexiones con otras materias de carácter científico son variadas. La relación entre la Química, la Biología, la Física y las Matemáticas es esencial para la interpretación adecuada de diversos fenómenos físicos, químicos o biológicos. Por ejemplo, en la materia de Biología se necesita el concepto de enlace para comprender la estructura de las moléculas que facilitan la existencia de la vida, o la colaboración de la física y las matemáticas en los desarrollos de la teoría mecanocuántica.</w:t>
      </w:r>
    </w:p>
    <w:p>
      <w:pPr>
        <w:pStyle w:val="Ttulo3"/>
        <w:rPr>
          <w:rFonts w:ascii="Arial" w:hAnsi="Arial"/>
          <w:sz w:val="20"/>
          <w:szCs w:val="20"/>
        </w:rPr>
      </w:pPr>
      <w:r>
        <w:rPr>
          <w:sz w:val="22"/>
          <w:szCs w:val="22"/>
        </w:rPr>
        <w:t>B. Reacciones Químicas</w:t>
      </w:r>
    </w:p>
    <w:p>
      <w:pPr>
        <w:pStyle w:val="Normal"/>
        <w:rPr>
          <w:rFonts w:ascii="Arial" w:hAnsi="Arial"/>
          <w:sz w:val="20"/>
          <w:szCs w:val="20"/>
        </w:rPr>
      </w:pPr>
      <w:r>
        <w:rPr>
          <w:sz w:val="22"/>
          <w:szCs w:val="22"/>
        </w:rPr>
        <w:t>En este bloque se introduce el concepto de reacción química, estudiando sus aspectos energéticos (termoquímica), dinámicos (cinética) y de equilibrio (equilibrio químico). Se analiza el calor intercambiado y su espontaneidad, así como los factores que modifican tanto la velocidad de reacción como el desplazamiento de su equilibrio. Así mismo se estudian los equilibrios de solubilidad, ácido base y de reducción-oxidación.  Todos ellos son conceptos complejos pero la madurez cognitiva del alumnado de 2º bachillerato posibilita introducirlos ya que son capaces de comprender conceptos abstractos y con un cierto nivel de simbolismo.</w:t>
      </w:r>
    </w:p>
    <w:p>
      <w:pPr>
        <w:pStyle w:val="Normal"/>
        <w:rPr>
          <w:rFonts w:ascii="Arial" w:hAnsi="Arial"/>
          <w:sz w:val="20"/>
          <w:szCs w:val="20"/>
        </w:rPr>
      </w:pPr>
      <w:r>
        <w:rPr>
          <w:sz w:val="22"/>
          <w:szCs w:val="22"/>
        </w:rPr>
        <w:t>Este bloque, por su naturaleza, permite que los alumnos y las alumnas puedan adquirir buenas prácticas de laboratorio y puedan profundizar en la práctica de la actividad científica que constituye el eje vertebrador del aprendizaje de las ciencias. Por otra parte, también permite acercar la Química a situaciones de la vida cotidiana lo que fomenta en el alumnado el desarrollo de una actitud crítica sobre el papel de la Química en nuestra sociedad y posibilita el desarrollo en el alumnado del perfil STEM, lo cual enriquece su vida académica y profesional además de su crecimiento personal. </w:t>
      </w:r>
    </w:p>
    <w:p>
      <w:pPr>
        <w:pStyle w:val="Normal"/>
        <w:rPr>
          <w:rFonts w:ascii="Arial" w:hAnsi="Arial"/>
          <w:sz w:val="20"/>
          <w:szCs w:val="20"/>
        </w:rPr>
      </w:pPr>
      <w:r>
        <w:rPr>
          <w:sz w:val="22"/>
          <w:szCs w:val="22"/>
        </w:rPr>
        <w:t>Las relaciones con otras materias de carácter científico están muy claras. En este apartado hay una importante vinculación con la Biología con la que se comparten muchos procesos (solubilidad, disolución amortiguadora, catalizadores, ...). Por otra parte, la necesidad de utilizar procedimientos que pertenecen a la matemática y a la física sigue estando patente en este bloque (representaciones gráficas, cálculos matemáticos, energía, entropía, velocidad, ...).</w:t>
      </w:r>
    </w:p>
    <w:p>
      <w:pPr>
        <w:pStyle w:val="Ttulo2"/>
        <w:rPr>
          <w:rFonts w:ascii="Arial" w:hAnsi="Arial"/>
          <w:sz w:val="20"/>
          <w:szCs w:val="20"/>
        </w:rPr>
      </w:pPr>
      <w:r>
        <w:rPr>
          <w:sz w:val="22"/>
          <w:szCs w:val="22"/>
        </w:rPr>
        <w:t xml:space="preserve">III.2. Concreción de los saberes básicos </w:t>
      </w:r>
    </w:p>
    <w:tbl>
      <w:tblPr>
        <w:tblW w:w="11070" w:type="dxa"/>
        <w:jc w:val="left"/>
        <w:tblInd w:w="-876" w:type="dxa"/>
        <w:tblCellMar>
          <w:top w:w="0" w:type="dxa"/>
          <w:left w:w="108" w:type="dxa"/>
          <w:bottom w:w="0" w:type="dxa"/>
          <w:right w:w="108" w:type="dxa"/>
        </w:tblCellMar>
        <w:tblLook w:firstRow="1" w:noVBand="1" w:lastRow="0" w:firstColumn="1" w:lastColumn="0" w:noHBand="0" w:val="04a0"/>
      </w:tblPr>
      <w:tblGrid>
        <w:gridCol w:w="6105"/>
        <w:gridCol w:w="4964"/>
      </w:tblGrid>
      <w:tr>
        <w:trPr/>
        <w:tc>
          <w:tcPr>
            <w:tcW w:w="11069" w:type="dxa"/>
            <w:gridSpan w:val="2"/>
            <w:tcBorders/>
            <w:shd w:color="auto" w:fill="92CDDC" w:themeFill="accent5" w:themeFillTint="99" w:val="clear"/>
          </w:tcPr>
          <w:p>
            <w:pPr>
              <w:pStyle w:val="Normal"/>
              <w:widowControl w:val="false"/>
              <w:spacing w:lineRule="auto" w:line="240" w:before="0" w:after="0"/>
              <w:jc w:val="center"/>
              <w:rPr>
                <w:rFonts w:ascii="Arial" w:hAnsi="Arial"/>
                <w:sz w:val="20"/>
                <w:szCs w:val="20"/>
              </w:rPr>
            </w:pPr>
            <w:r>
              <w:rPr>
                <w:b/>
                <w:sz w:val="22"/>
                <w:szCs w:val="22"/>
              </w:rPr>
              <w:t>A. Enlace químico y estructura de la materia</w:t>
            </w:r>
          </w:p>
        </w:tc>
      </w:tr>
      <w:tr>
        <w:trPr/>
        <w:tc>
          <w:tcPr>
            <w:tcW w:w="11069" w:type="dxa"/>
            <w:gridSpan w:val="2"/>
            <w:tcBorders/>
            <w:shd w:color="auto" w:fill="DBE5F1" w:themeFill="accent1" w:themeFillTint="33" w:val="clear"/>
          </w:tcPr>
          <w:p>
            <w:pPr>
              <w:pStyle w:val="Normal"/>
              <w:widowControl w:val="false"/>
              <w:spacing w:lineRule="auto" w:line="240" w:before="0" w:after="0"/>
              <w:rPr>
                <w:rFonts w:ascii="Arial" w:hAnsi="Arial"/>
                <w:sz w:val="20"/>
                <w:szCs w:val="20"/>
              </w:rPr>
            </w:pPr>
            <w:r>
              <w:rPr>
                <w:sz w:val="22"/>
                <w:szCs w:val="22"/>
              </w:rPr>
              <w:t>En este bloque se reconoce la importancia de la teoría mecanocuántica para el conocimiento del átomo y se estudia la estructura atómica de los elementos y su repercusión en las propiedades periódicas de los mismos. Es importante destacar el estudio de los distintos tipos de enlaces que aparecen entre los elementos y de las propiedades fisicoquímicas de las sustancias que pueden formar. Es recomendable valorar la posibilidad de alterar el orden de desarrollo de los bloques, dejando este bloque para la última parte del curso, ya que el alumnado ya habrá podido entender conceptos como energía de enlace, ley de Hess, etc. Por otra parte, en la parte del enlace químico se recomienda una secuenciación que facilitará al alumnado el aprendizaje de los diferentes tipos de enlace.</w:t>
            </w:r>
          </w:p>
        </w:tc>
      </w:tr>
      <w:tr>
        <w:trPr/>
        <w:tc>
          <w:tcPr>
            <w:tcW w:w="6105" w:type="dxa"/>
            <w:tcBorders/>
            <w:shd w:color="auto" w:fill="D9D9D9" w:themeFill="background1" w:themeFillShade="d9" w:val="clear"/>
          </w:tcPr>
          <w:p>
            <w:pPr>
              <w:pStyle w:val="Normal"/>
              <w:widowControl w:val="false"/>
              <w:spacing w:lineRule="auto" w:line="240" w:before="0" w:after="0"/>
              <w:jc w:val="center"/>
              <w:rPr>
                <w:rFonts w:ascii="Arial" w:hAnsi="Arial"/>
                <w:sz w:val="20"/>
                <w:szCs w:val="20"/>
              </w:rPr>
            </w:pPr>
            <w:r>
              <w:rPr>
                <w:i/>
                <w:sz w:val="22"/>
                <w:szCs w:val="22"/>
              </w:rPr>
              <w:t>Conocimientos, destrezas y actitudes</w:t>
            </w:r>
          </w:p>
        </w:tc>
        <w:tc>
          <w:tcPr>
            <w:tcW w:w="4964" w:type="dxa"/>
            <w:tcBorders/>
            <w:shd w:color="auto" w:fill="D9D9D9" w:themeFill="background1" w:themeFillShade="d9" w:val="clear"/>
          </w:tcPr>
          <w:p>
            <w:pPr>
              <w:pStyle w:val="Normal"/>
              <w:widowControl w:val="false"/>
              <w:spacing w:lineRule="auto" w:line="240" w:before="0" w:after="0"/>
              <w:jc w:val="center"/>
              <w:rPr>
                <w:rFonts w:ascii="Arial" w:hAnsi="Arial"/>
                <w:sz w:val="20"/>
                <w:szCs w:val="20"/>
              </w:rPr>
            </w:pPr>
            <w:r>
              <w:rPr>
                <w:i/>
                <w:sz w:val="22"/>
                <w:szCs w:val="22"/>
              </w:rPr>
              <w:t xml:space="preserve">Criterios de evaluación </w:t>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A.1. Espectros atómicos:</w:t>
            </w:r>
          </w:p>
          <w:p>
            <w:pPr>
              <w:pStyle w:val="DC1"/>
              <w:widowControl w:val="false"/>
              <w:numPr>
                <w:ilvl w:val="0"/>
                <w:numId w:val="1"/>
              </w:numPr>
              <w:ind w:left="0" w:hanging="0"/>
              <w:rPr>
                <w:rFonts w:ascii="Arial" w:hAnsi="Arial"/>
                <w:sz w:val="20"/>
                <w:szCs w:val="20"/>
              </w:rPr>
            </w:pPr>
            <w:r>
              <w:rPr>
                <w:sz w:val="22"/>
                <w:szCs w:val="22"/>
              </w:rPr>
              <w:t>Los espectros atómicos como responsables de la necesidad de la revisión del modelo atómico. Relevancia de este fenómeno en el contexto del desarrollo histórico del modelo atómico.</w:t>
            </w:r>
          </w:p>
          <w:p>
            <w:pPr>
              <w:pStyle w:val="DC1"/>
              <w:widowControl w:val="false"/>
              <w:numPr>
                <w:ilvl w:val="0"/>
                <w:numId w:val="1"/>
              </w:numPr>
              <w:ind w:left="0" w:hanging="0"/>
              <w:rPr>
                <w:rFonts w:ascii="Arial" w:hAnsi="Arial"/>
                <w:sz w:val="20"/>
                <w:szCs w:val="20"/>
              </w:rPr>
            </w:pPr>
            <w:r>
              <w:rPr>
                <w:sz w:val="22"/>
                <w:szCs w:val="22"/>
              </w:rPr>
              <w:t>Interpretación de los espectros de emisión y absorción de los elementos. Relación con la estructura electrónica del átomo.</w:t>
            </w:r>
          </w:p>
        </w:tc>
        <w:tc>
          <w:tcPr>
            <w:tcW w:w="4964" w:type="dxa"/>
            <w:tcBorders/>
            <w:shd w:color="auto" w:fill="auto" w:val="clear"/>
          </w:tcPr>
          <w:p>
            <w:pPr>
              <w:pStyle w:val="Normal"/>
              <w:widowControl w:val="false"/>
              <w:spacing w:lineRule="auto" w:line="240" w:before="0" w:after="0"/>
              <w:rPr>
                <w:rFonts w:ascii="Arial" w:hAnsi="Arial"/>
                <w:sz w:val="20"/>
                <w:szCs w:val="2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rFonts w:ascii="Arial" w:hAnsi="Arial"/>
                <w:sz w:val="20"/>
                <w:szCs w:val="2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rFonts w:ascii="Arial" w:hAnsi="Arial"/>
                <w:sz w:val="20"/>
                <w:szCs w:val="2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
              <w:widowControl w:val="false"/>
              <w:spacing w:lineRule="auto" w:line="240" w:before="0" w:after="0"/>
              <w:rPr>
                <w:rFonts w:ascii="Arial" w:hAnsi="Arial"/>
                <w:sz w:val="20"/>
                <w:szCs w:val="2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rFonts w:ascii="Arial" w:hAnsi="Arial"/>
                <w:sz w:val="20"/>
                <w:szCs w:val="2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rFonts w:ascii="Arial" w:hAnsi="Arial"/>
                <w:sz w:val="20"/>
                <w:szCs w:val="20"/>
              </w:rPr>
            </w:pPr>
            <w:r>
              <w:rPr>
                <w:sz w:val="22"/>
                <w:szCs w:val="22"/>
              </w:rPr>
              <w:t>de estudio y discusión</w:t>
            </w:r>
          </w:p>
          <w:p>
            <w:pPr>
              <w:pStyle w:val="Normal"/>
              <w:widowControl w:val="false"/>
              <w:spacing w:lineRule="auto" w:line="240" w:before="0" w:after="0"/>
              <w:rPr>
                <w:rFonts w:ascii="Arial" w:hAnsi="Arial"/>
                <w:sz w:val="20"/>
                <w:szCs w:val="2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rFonts w:ascii="Arial" w:hAnsi="Arial"/>
                <w:sz w:val="20"/>
                <w:szCs w:val="20"/>
              </w:rPr>
            </w:pPr>
            <w:r>
              <w:rPr>
                <w:sz w:val="22"/>
                <w:szCs w:val="22"/>
              </w:rPr>
              <w:t>en dichos ámbitos.</w:t>
            </w:r>
          </w:p>
          <w:p>
            <w:pPr>
              <w:pStyle w:val="Normal"/>
              <w:widowControl w:val="false"/>
              <w:spacing w:lineRule="auto" w:line="240" w:before="0" w:after="0"/>
              <w:rPr>
                <w:rFonts w:ascii="Arial" w:hAnsi="Arial"/>
                <w:sz w:val="20"/>
                <w:szCs w:val="2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rFonts w:ascii="Arial" w:hAnsi="Arial"/>
                <w:sz w:val="20"/>
                <w:szCs w:val="20"/>
              </w:rPr>
            </w:pPr>
            <w:r>
              <w:rPr>
                <w:sz w:val="22"/>
                <w:szCs w:val="22"/>
              </w:rPr>
              <w:t>consecuencias de experimentos, fenómenos naturales, procesos industriales y descubrimientos científicos.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Arial" w:hAnsi="Arial"/>
                <w:sz w:val="20"/>
                <w:szCs w:val="2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rFonts w:ascii="Arial" w:hAnsi="Arial"/>
                <w:sz w:val="20"/>
                <w:szCs w:val="2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rFonts w:ascii="Arial" w:hAnsi="Arial"/>
                <w:sz w:val="20"/>
                <w:szCs w:val="2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Arial" w:hAnsi="Arial"/>
                <w:sz w:val="20"/>
                <w:szCs w:val="2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rFonts w:ascii="Arial" w:hAnsi="Arial"/>
                <w:sz w:val="20"/>
                <w:szCs w:val="2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rFonts w:ascii="Arial" w:hAnsi="Arial"/>
                <w:sz w:val="20"/>
                <w:szCs w:val="2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rFonts w:ascii="Arial" w:hAnsi="Arial"/>
                <w:sz w:val="20"/>
                <w:szCs w:val="20"/>
              </w:rPr>
            </w:pPr>
            <w:r>
              <w:rPr>
                <w:sz w:val="22"/>
                <w:szCs w:val="22"/>
              </w:rPr>
              <w:t>5.4. Representar y visualizar de forma eficiente los conceptos de Química que presenten mayores dificultades utilizando herramientas digitales y recursos variados, incluyendo experiencias de laboratorio real y virtual.</w:t>
            </w:r>
          </w:p>
          <w:p>
            <w:pPr>
              <w:pStyle w:val="Normal"/>
              <w:widowControl w:val="false"/>
              <w:spacing w:lineRule="auto" w:line="240" w:before="0" w:after="0"/>
              <w:rPr>
                <w:rFonts w:ascii="Arial" w:hAnsi="Arial"/>
                <w:sz w:val="20"/>
                <w:szCs w:val="2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
              <w:widowControl w:val="false"/>
              <w:spacing w:lineRule="auto" w:line="240" w:before="0" w:after="0"/>
              <w:rPr>
                <w:rFonts w:ascii="Arial" w:hAnsi="Arial"/>
                <w:sz w:val="20"/>
                <w:szCs w:val="2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rFonts w:ascii="Arial" w:hAnsi="Arial"/>
                <w:sz w:val="20"/>
                <w:szCs w:val="2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p>
            <w:pPr>
              <w:pStyle w:val="Normal"/>
              <w:widowControl w:val="false"/>
              <w:spacing w:lineRule="auto" w:line="240" w:before="0" w:after="0"/>
              <w:rPr>
                <w:rFonts w:ascii="Calibri" w:hAnsi="Calibri"/>
                <w:sz w:val="22"/>
                <w:szCs w:val="22"/>
              </w:rPr>
            </w:pPr>
            <w:r>
              <w:rPr>
                <w:sz w:val="22"/>
                <w:szCs w:val="22"/>
              </w:rPr>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A.2. Principios cuánticos de la estructura atómica:</w:t>
            </w:r>
          </w:p>
          <w:p>
            <w:pPr>
              <w:pStyle w:val="DC1"/>
              <w:widowControl w:val="false"/>
              <w:numPr>
                <w:ilvl w:val="0"/>
                <w:numId w:val="1"/>
              </w:numPr>
              <w:ind w:left="0" w:hanging="0"/>
              <w:rPr>
                <w:rFonts w:ascii="Arial" w:hAnsi="Arial"/>
                <w:sz w:val="20"/>
                <w:szCs w:val="20"/>
              </w:rPr>
            </w:pPr>
            <w:r>
              <w:rPr>
                <w:sz w:val="22"/>
                <w:szCs w:val="22"/>
              </w:rPr>
              <w:t>Relación entre el fenómeno de los espectros atómicos y la cuantización de la energía. Del modelo de Bohr a los modelos mecano-cuánticos: necesidad de una estructura electrónica en diferentes niveles</w:t>
            </w:r>
          </w:p>
          <w:p>
            <w:pPr>
              <w:pStyle w:val="DC1"/>
              <w:widowControl w:val="false"/>
              <w:numPr>
                <w:ilvl w:val="0"/>
                <w:numId w:val="1"/>
              </w:numPr>
              <w:ind w:left="0" w:hanging="0"/>
              <w:rPr>
                <w:rFonts w:ascii="Arial" w:hAnsi="Arial"/>
                <w:sz w:val="20"/>
                <w:szCs w:val="20"/>
              </w:rPr>
            </w:pPr>
            <w:r>
              <w:rPr>
                <w:sz w:val="22"/>
                <w:szCs w:val="22"/>
              </w:rPr>
              <w:t>Principio de incertidumbre de Heisenberg y doble naturaleza onda-corpúsculo del electrón. Naturaleza probabilística del concepto de orbital.</w:t>
            </w:r>
          </w:p>
          <w:p>
            <w:pPr>
              <w:pStyle w:val="DC1"/>
              <w:widowControl w:val="false"/>
              <w:numPr>
                <w:ilvl w:val="0"/>
                <w:numId w:val="1"/>
              </w:numPr>
              <w:ind w:left="0" w:hanging="0"/>
              <w:rPr>
                <w:rFonts w:ascii="Arial" w:hAnsi="Arial"/>
                <w:sz w:val="20"/>
                <w:szCs w:val="20"/>
              </w:rPr>
            </w:pPr>
            <w:r>
              <w:rPr>
                <w:sz w:val="22"/>
                <w:szCs w:val="22"/>
              </w:rPr>
              <w:t>Números cuánticos y principio de exclusión de Pauli. Estructura electrónica del átomo. Utilización del diagrama de Moeller para escribir la configuración electrónica de los elementos químicos.</w:t>
            </w:r>
          </w:p>
        </w:tc>
        <w:tc>
          <w:tcPr>
            <w:tcW w:w="4964" w:type="dxa"/>
            <w:tcBorders/>
            <w:shd w:color="auto" w:fill="auto" w:val="clear"/>
          </w:tcPr>
          <w:p>
            <w:pPr>
              <w:pStyle w:val="Normal"/>
              <w:widowControl w:val="false"/>
              <w:spacing w:lineRule="auto" w:line="240" w:before="0" w:after="0"/>
              <w:rPr>
                <w:rFonts w:ascii="Arial" w:hAnsi="Arial"/>
                <w:sz w:val="20"/>
                <w:szCs w:val="2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rFonts w:ascii="Arial" w:hAnsi="Arial"/>
                <w:sz w:val="20"/>
                <w:szCs w:val="2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rFonts w:ascii="Arial" w:hAnsi="Arial"/>
                <w:sz w:val="20"/>
                <w:szCs w:val="2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
              <w:widowControl w:val="false"/>
              <w:spacing w:lineRule="auto" w:line="240" w:before="0" w:after="0"/>
              <w:rPr>
                <w:rFonts w:ascii="Arial" w:hAnsi="Arial"/>
                <w:sz w:val="20"/>
                <w:szCs w:val="2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rFonts w:ascii="Arial" w:hAnsi="Arial"/>
                <w:sz w:val="20"/>
                <w:szCs w:val="2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rFonts w:ascii="Arial" w:hAnsi="Arial"/>
                <w:sz w:val="20"/>
                <w:szCs w:val="20"/>
              </w:rPr>
            </w:pPr>
            <w:r>
              <w:rPr>
                <w:sz w:val="22"/>
                <w:szCs w:val="22"/>
              </w:rPr>
              <w:t>de estudio y discusión</w:t>
            </w:r>
          </w:p>
          <w:p>
            <w:pPr>
              <w:pStyle w:val="Normal"/>
              <w:widowControl w:val="false"/>
              <w:spacing w:lineRule="auto" w:line="240" w:before="0" w:after="0"/>
              <w:rPr>
                <w:rFonts w:ascii="Arial" w:hAnsi="Arial"/>
                <w:sz w:val="20"/>
                <w:szCs w:val="2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rFonts w:ascii="Arial" w:hAnsi="Arial"/>
                <w:sz w:val="20"/>
                <w:szCs w:val="20"/>
              </w:rPr>
            </w:pPr>
            <w:r>
              <w:rPr>
                <w:sz w:val="22"/>
                <w:szCs w:val="22"/>
              </w:rPr>
              <w:t>en dichos ámbitos.</w:t>
            </w:r>
          </w:p>
          <w:p>
            <w:pPr>
              <w:pStyle w:val="Normal"/>
              <w:widowControl w:val="false"/>
              <w:spacing w:lineRule="auto" w:line="240" w:before="0" w:after="0"/>
              <w:rPr>
                <w:rFonts w:ascii="Arial" w:hAnsi="Arial"/>
                <w:sz w:val="20"/>
                <w:szCs w:val="2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rFonts w:ascii="Arial" w:hAnsi="Arial"/>
                <w:sz w:val="20"/>
                <w:szCs w:val="20"/>
              </w:rPr>
            </w:pPr>
            <w:r>
              <w:rPr>
                <w:sz w:val="22"/>
                <w:szCs w:val="22"/>
              </w:rPr>
              <w:t>consecuencias de experimentos, fenómenos naturales, procesos industriales y descubrimientos científicos.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Arial" w:hAnsi="Arial"/>
                <w:sz w:val="20"/>
                <w:szCs w:val="2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rFonts w:ascii="Arial" w:hAnsi="Arial"/>
                <w:sz w:val="20"/>
                <w:szCs w:val="2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rFonts w:ascii="Arial" w:hAnsi="Arial"/>
                <w:sz w:val="20"/>
                <w:szCs w:val="2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Arial" w:hAnsi="Arial"/>
                <w:sz w:val="20"/>
                <w:szCs w:val="2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rFonts w:ascii="Arial" w:hAnsi="Arial"/>
                <w:sz w:val="20"/>
                <w:szCs w:val="2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rFonts w:ascii="Arial" w:hAnsi="Arial"/>
                <w:sz w:val="20"/>
                <w:szCs w:val="2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rFonts w:ascii="Arial" w:hAnsi="Arial"/>
                <w:sz w:val="20"/>
                <w:szCs w:val="20"/>
              </w:rPr>
            </w:pPr>
            <w:r>
              <w:rPr>
                <w:sz w:val="22"/>
                <w:szCs w:val="22"/>
              </w:rPr>
              <w:t>5.4. Representar y visualizar de forma eficiente los conceptos de Química que presenten mayores dificultades utilizando herramientas digitales y recursos variados, incluyendo experiencias de laboratorio real y virtual.</w:t>
            </w:r>
          </w:p>
          <w:p>
            <w:pPr>
              <w:pStyle w:val="Normal"/>
              <w:widowControl w:val="false"/>
              <w:spacing w:lineRule="auto" w:line="240" w:before="0" w:after="0"/>
              <w:rPr>
                <w:rFonts w:ascii="Arial" w:hAnsi="Arial"/>
                <w:sz w:val="20"/>
                <w:szCs w:val="2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
              <w:widowControl w:val="false"/>
              <w:spacing w:lineRule="auto" w:line="240" w:before="0" w:after="0"/>
              <w:rPr>
                <w:rFonts w:ascii="Arial" w:hAnsi="Arial"/>
                <w:sz w:val="20"/>
                <w:szCs w:val="2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rFonts w:ascii="Arial" w:hAnsi="Arial"/>
                <w:sz w:val="20"/>
                <w:szCs w:val="2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p>
            <w:pPr>
              <w:pStyle w:val="Normal"/>
              <w:widowControl w:val="false"/>
              <w:spacing w:lineRule="auto" w:line="240" w:before="0" w:after="0"/>
              <w:rPr>
                <w:rFonts w:ascii="Calibri" w:hAnsi="Calibri"/>
                <w:sz w:val="22"/>
                <w:szCs w:val="22"/>
              </w:rPr>
            </w:pPr>
            <w:r>
              <w:rPr>
                <w:sz w:val="22"/>
                <w:szCs w:val="22"/>
              </w:rPr>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A.3. Tabla periódica y propiedades de los átomos:</w:t>
            </w:r>
          </w:p>
          <w:p>
            <w:pPr>
              <w:pStyle w:val="DC1"/>
              <w:widowControl w:val="false"/>
              <w:numPr>
                <w:ilvl w:val="0"/>
                <w:numId w:val="1"/>
              </w:numPr>
              <w:ind w:left="0" w:hanging="0"/>
              <w:rPr>
                <w:rFonts w:ascii="Arial" w:hAnsi="Arial"/>
                <w:sz w:val="20"/>
                <w:szCs w:val="20"/>
              </w:rPr>
            </w:pPr>
            <w:r>
              <w:rPr>
                <w:sz w:val="22"/>
                <w:szCs w:val="22"/>
              </w:rPr>
              <w:t>Naturaleza experimental del origen de la tabla periódica en cuanto al agrupamiento de los elementos en base a sus propiedades. La teoría atómica actual y su relación con las leyes experimentales observadas.</w:t>
            </w:r>
          </w:p>
          <w:p>
            <w:pPr>
              <w:pStyle w:val="DC1"/>
              <w:widowControl w:val="false"/>
              <w:numPr>
                <w:ilvl w:val="0"/>
                <w:numId w:val="1"/>
              </w:numPr>
              <w:ind w:left="0" w:hanging="0"/>
              <w:rPr>
                <w:rFonts w:ascii="Arial" w:hAnsi="Arial"/>
                <w:sz w:val="20"/>
                <w:szCs w:val="20"/>
              </w:rPr>
            </w:pPr>
            <w:r>
              <w:rPr>
                <w:sz w:val="22"/>
                <w:szCs w:val="22"/>
              </w:rPr>
              <w:t>Configuración electrónica de un elemento a partir de su posición en la tabla periódica.</w:t>
            </w:r>
          </w:p>
          <w:p>
            <w:pPr>
              <w:pStyle w:val="DC1"/>
              <w:widowControl w:val="false"/>
              <w:numPr>
                <w:ilvl w:val="0"/>
                <w:numId w:val="1"/>
              </w:numPr>
              <w:ind w:left="0" w:hanging="0"/>
              <w:rPr>
                <w:rFonts w:ascii="Arial" w:hAnsi="Arial"/>
                <w:sz w:val="20"/>
                <w:szCs w:val="20"/>
              </w:rPr>
            </w:pPr>
            <w:r>
              <w:rPr>
                <w:sz w:val="22"/>
                <w:szCs w:val="22"/>
              </w:rPr>
              <w:t>Tendencias periódicas. Aplicación a la predicción de los valores de las propiedades de los elementos de la tabla a partir de su posición en la misma.</w:t>
            </w:r>
          </w:p>
        </w:tc>
        <w:tc>
          <w:tcPr>
            <w:tcW w:w="4964" w:type="dxa"/>
            <w:tcBorders/>
            <w:shd w:color="auto" w:fill="auto" w:val="clear"/>
          </w:tcPr>
          <w:p>
            <w:pPr>
              <w:pStyle w:val="Normal"/>
              <w:widowControl w:val="false"/>
              <w:spacing w:lineRule="auto" w:line="240" w:before="0" w:after="0"/>
              <w:rPr>
                <w:rFonts w:ascii="Arial" w:hAnsi="Arial"/>
                <w:sz w:val="20"/>
                <w:szCs w:val="2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rFonts w:ascii="Arial" w:hAnsi="Arial"/>
                <w:sz w:val="20"/>
                <w:szCs w:val="2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rFonts w:ascii="Arial" w:hAnsi="Arial"/>
                <w:sz w:val="20"/>
                <w:szCs w:val="2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
              <w:widowControl w:val="false"/>
              <w:spacing w:lineRule="auto" w:line="240" w:before="0" w:after="0"/>
              <w:rPr>
                <w:rFonts w:ascii="Arial" w:hAnsi="Arial"/>
                <w:sz w:val="20"/>
                <w:szCs w:val="2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rFonts w:ascii="Arial" w:hAnsi="Arial"/>
                <w:sz w:val="20"/>
                <w:szCs w:val="2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rFonts w:ascii="Arial" w:hAnsi="Arial"/>
                <w:sz w:val="20"/>
                <w:szCs w:val="20"/>
              </w:rPr>
            </w:pPr>
            <w:r>
              <w:rPr>
                <w:sz w:val="22"/>
                <w:szCs w:val="22"/>
              </w:rPr>
              <w:t>de estudio y discusión</w:t>
            </w:r>
          </w:p>
          <w:p>
            <w:pPr>
              <w:pStyle w:val="Normal"/>
              <w:widowControl w:val="false"/>
              <w:spacing w:lineRule="auto" w:line="240" w:before="0" w:after="0"/>
              <w:rPr>
                <w:rFonts w:ascii="Arial" w:hAnsi="Arial"/>
                <w:sz w:val="20"/>
                <w:szCs w:val="2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rFonts w:ascii="Arial" w:hAnsi="Arial"/>
                <w:sz w:val="20"/>
                <w:szCs w:val="20"/>
              </w:rPr>
            </w:pPr>
            <w:r>
              <w:rPr>
                <w:sz w:val="22"/>
                <w:szCs w:val="22"/>
              </w:rPr>
              <w:t>en dichos ámbitos.</w:t>
            </w:r>
          </w:p>
          <w:p>
            <w:pPr>
              <w:pStyle w:val="Normal"/>
              <w:widowControl w:val="false"/>
              <w:spacing w:lineRule="auto" w:line="240" w:before="0" w:after="0"/>
              <w:rPr>
                <w:rFonts w:ascii="Arial" w:hAnsi="Arial"/>
                <w:sz w:val="20"/>
                <w:szCs w:val="2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rFonts w:ascii="Arial" w:hAnsi="Arial"/>
                <w:sz w:val="20"/>
                <w:szCs w:val="20"/>
              </w:rPr>
            </w:pPr>
            <w:r>
              <w:rPr>
                <w:sz w:val="22"/>
                <w:szCs w:val="22"/>
              </w:rPr>
              <w:t>consecuencias de experimentos, fenómenos naturales, procesos industriales y descubrimientos científicos.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Arial" w:hAnsi="Arial"/>
                <w:sz w:val="20"/>
                <w:szCs w:val="2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rFonts w:ascii="Arial" w:hAnsi="Arial"/>
                <w:sz w:val="20"/>
                <w:szCs w:val="2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rFonts w:ascii="Arial" w:hAnsi="Arial"/>
                <w:sz w:val="20"/>
                <w:szCs w:val="2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Arial" w:hAnsi="Arial"/>
                <w:sz w:val="20"/>
                <w:szCs w:val="2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rFonts w:ascii="Arial" w:hAnsi="Arial"/>
                <w:sz w:val="20"/>
                <w:szCs w:val="2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rFonts w:ascii="Arial" w:hAnsi="Arial"/>
                <w:sz w:val="20"/>
                <w:szCs w:val="2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rFonts w:ascii="Arial" w:hAnsi="Arial"/>
                <w:sz w:val="20"/>
                <w:szCs w:val="20"/>
              </w:rPr>
            </w:pPr>
            <w:r>
              <w:rPr>
                <w:sz w:val="22"/>
                <w:szCs w:val="22"/>
              </w:rPr>
              <w:t>5.4. Representar y visualizar de forma eficiente los conceptos de Química que presenten mayores dificultades utilizando herramientas digitales y recursos variados, incluyendo experiencias de laboratorio real y virtual.</w:t>
            </w:r>
          </w:p>
          <w:p>
            <w:pPr>
              <w:pStyle w:val="Normal"/>
              <w:widowControl w:val="false"/>
              <w:spacing w:lineRule="auto" w:line="240" w:before="0" w:after="0"/>
              <w:rPr>
                <w:rFonts w:ascii="Arial" w:hAnsi="Arial"/>
                <w:sz w:val="20"/>
                <w:szCs w:val="2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
              <w:widowControl w:val="false"/>
              <w:spacing w:lineRule="auto" w:line="240" w:before="0" w:after="0"/>
              <w:rPr>
                <w:rFonts w:ascii="Arial" w:hAnsi="Arial"/>
                <w:sz w:val="20"/>
                <w:szCs w:val="2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rFonts w:ascii="Arial" w:hAnsi="Arial"/>
                <w:sz w:val="20"/>
                <w:szCs w:val="2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p>
            <w:pPr>
              <w:pStyle w:val="Normal"/>
              <w:widowControl w:val="false"/>
              <w:spacing w:lineRule="auto" w:line="240" w:before="0" w:after="0"/>
              <w:rPr>
                <w:rFonts w:ascii="Calibri" w:hAnsi="Calibri"/>
                <w:sz w:val="22"/>
                <w:szCs w:val="22"/>
              </w:rPr>
            </w:pPr>
            <w:r>
              <w:rPr>
                <w:sz w:val="22"/>
                <w:szCs w:val="22"/>
              </w:rPr>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A.4. Enlace químico y fuerzas intermoleculares:</w:t>
            </w:r>
          </w:p>
          <w:p>
            <w:pPr>
              <w:pStyle w:val="DC1"/>
              <w:widowControl w:val="false"/>
              <w:numPr>
                <w:ilvl w:val="0"/>
                <w:numId w:val="1"/>
              </w:numPr>
              <w:ind w:left="0" w:hanging="0"/>
              <w:rPr>
                <w:rFonts w:ascii="Arial" w:hAnsi="Arial"/>
                <w:sz w:val="20"/>
                <w:szCs w:val="20"/>
              </w:rPr>
            </w:pPr>
            <w:r>
              <w:rPr>
                <w:sz w:val="22"/>
                <w:szCs w:val="22"/>
              </w:rPr>
              <w:t>Tipos de enlace a partir de las características de los elementos individuales que lo forman. Energía implicada en la formación de moléculas, de cristales y de estructuras macroscópicas. Propiedades de las sustancias Químicas.</w:t>
            </w:r>
          </w:p>
          <w:p>
            <w:pPr>
              <w:pStyle w:val="DC1"/>
              <w:widowControl w:val="false"/>
              <w:numPr>
                <w:ilvl w:val="0"/>
                <w:numId w:val="1"/>
              </w:numPr>
              <w:ind w:left="0" w:hanging="0"/>
              <w:rPr>
                <w:rFonts w:ascii="Arial" w:hAnsi="Arial"/>
                <w:sz w:val="20"/>
                <w:szCs w:val="20"/>
              </w:rPr>
            </w:pPr>
            <w:r>
              <w:rPr>
                <w:sz w:val="22"/>
                <w:szCs w:val="22"/>
              </w:rPr>
              <w:t>Modelos de Lewis, RPECV e hibridación de orbitales. Configuración geométrica de sustancias moleculares y las características de los sólidos.</w:t>
            </w:r>
          </w:p>
          <w:p>
            <w:pPr>
              <w:pStyle w:val="DC1"/>
              <w:widowControl w:val="false"/>
              <w:numPr>
                <w:ilvl w:val="0"/>
                <w:numId w:val="1"/>
              </w:numPr>
              <w:ind w:left="0" w:hanging="0"/>
              <w:rPr>
                <w:rFonts w:ascii="Arial" w:hAnsi="Arial"/>
                <w:sz w:val="20"/>
                <w:szCs w:val="20"/>
              </w:rPr>
            </w:pPr>
            <w:r>
              <w:rPr>
                <w:sz w:val="22"/>
                <w:szCs w:val="22"/>
              </w:rPr>
              <w:t>Ciclo de Born-Haber. Energía intercambiada en la formación de cristales iónicos.</w:t>
            </w:r>
          </w:p>
          <w:p>
            <w:pPr>
              <w:pStyle w:val="DC1"/>
              <w:widowControl w:val="false"/>
              <w:numPr>
                <w:ilvl w:val="0"/>
                <w:numId w:val="1"/>
              </w:numPr>
              <w:ind w:left="0" w:hanging="0"/>
              <w:rPr>
                <w:rFonts w:ascii="Arial" w:hAnsi="Arial"/>
                <w:sz w:val="20"/>
                <w:szCs w:val="20"/>
              </w:rPr>
            </w:pPr>
            <w:r>
              <w:rPr>
                <w:sz w:val="22"/>
                <w:szCs w:val="22"/>
              </w:rPr>
              <w:t>Modelos de la nube electrónica y la teoría de bandas para explicar las propiedades características de los cristales metálicos.</w:t>
            </w:r>
          </w:p>
          <w:p>
            <w:pPr>
              <w:pStyle w:val="DC1"/>
              <w:widowControl w:val="false"/>
              <w:numPr>
                <w:ilvl w:val="0"/>
                <w:numId w:val="1"/>
              </w:numPr>
              <w:ind w:left="0" w:hanging="0"/>
              <w:rPr>
                <w:rFonts w:ascii="Arial" w:hAnsi="Arial"/>
                <w:sz w:val="20"/>
                <w:szCs w:val="20"/>
              </w:rPr>
            </w:pPr>
            <w:r>
              <w:rPr>
                <w:sz w:val="22"/>
                <w:szCs w:val="22"/>
              </w:rPr>
              <w:t>Fuerzas intermoleculares a partir de las características del enlace químico y la geometría de las moléculas. Propiedades macroscópicas de sustancias moleculares</w:t>
            </w:r>
          </w:p>
        </w:tc>
        <w:tc>
          <w:tcPr>
            <w:tcW w:w="4964" w:type="dxa"/>
            <w:tcBorders/>
            <w:shd w:color="auto" w:fill="auto" w:val="clear"/>
          </w:tcPr>
          <w:p>
            <w:pPr>
              <w:pStyle w:val="Normal"/>
              <w:widowControl w:val="false"/>
              <w:spacing w:lineRule="auto" w:line="240" w:before="0" w:after="0"/>
              <w:rPr>
                <w:rFonts w:ascii="Arial" w:hAnsi="Arial"/>
                <w:sz w:val="20"/>
                <w:szCs w:val="2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rFonts w:ascii="Arial" w:hAnsi="Arial"/>
                <w:sz w:val="20"/>
                <w:szCs w:val="2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rFonts w:ascii="Arial" w:hAnsi="Arial"/>
                <w:sz w:val="20"/>
                <w:szCs w:val="2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
              <w:widowControl w:val="false"/>
              <w:spacing w:lineRule="auto" w:line="240" w:before="0" w:after="0"/>
              <w:rPr>
                <w:rFonts w:ascii="Arial" w:hAnsi="Arial"/>
                <w:sz w:val="20"/>
                <w:szCs w:val="2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rFonts w:ascii="Arial" w:hAnsi="Arial"/>
                <w:sz w:val="20"/>
                <w:szCs w:val="2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rFonts w:ascii="Arial" w:hAnsi="Arial"/>
                <w:sz w:val="20"/>
                <w:szCs w:val="20"/>
              </w:rPr>
            </w:pPr>
            <w:r>
              <w:rPr>
                <w:sz w:val="22"/>
                <w:szCs w:val="22"/>
              </w:rPr>
              <w:t>de estudio y discusión</w:t>
            </w:r>
          </w:p>
          <w:p>
            <w:pPr>
              <w:pStyle w:val="Normal"/>
              <w:widowControl w:val="false"/>
              <w:spacing w:lineRule="auto" w:line="240" w:before="0" w:after="0"/>
              <w:rPr>
                <w:rFonts w:ascii="Arial" w:hAnsi="Arial"/>
                <w:sz w:val="20"/>
                <w:szCs w:val="2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rFonts w:ascii="Arial" w:hAnsi="Arial"/>
                <w:sz w:val="20"/>
                <w:szCs w:val="20"/>
              </w:rPr>
            </w:pPr>
            <w:r>
              <w:rPr>
                <w:sz w:val="22"/>
                <w:szCs w:val="22"/>
              </w:rPr>
              <w:t>en dichos ámbitos.</w:t>
            </w:r>
          </w:p>
          <w:p>
            <w:pPr>
              <w:pStyle w:val="Normal"/>
              <w:widowControl w:val="false"/>
              <w:spacing w:lineRule="auto" w:line="240" w:before="0" w:after="0"/>
              <w:rPr>
                <w:rFonts w:ascii="Arial" w:hAnsi="Arial"/>
                <w:sz w:val="20"/>
                <w:szCs w:val="2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rFonts w:ascii="Arial" w:hAnsi="Arial"/>
                <w:sz w:val="20"/>
                <w:szCs w:val="20"/>
              </w:rPr>
            </w:pPr>
            <w:r>
              <w:rPr>
                <w:sz w:val="22"/>
                <w:szCs w:val="22"/>
              </w:rPr>
              <w:t>consecuencias de experimentos, fenómenos naturales, procesos industriales y descubrimientos científicos.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Arial" w:hAnsi="Arial"/>
                <w:sz w:val="20"/>
                <w:szCs w:val="2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rFonts w:ascii="Arial" w:hAnsi="Arial"/>
                <w:sz w:val="20"/>
                <w:szCs w:val="2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rFonts w:ascii="Arial" w:hAnsi="Arial"/>
                <w:sz w:val="20"/>
                <w:szCs w:val="2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Arial" w:hAnsi="Arial"/>
                <w:sz w:val="20"/>
                <w:szCs w:val="2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rFonts w:ascii="Arial" w:hAnsi="Arial"/>
                <w:sz w:val="20"/>
                <w:szCs w:val="2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rFonts w:ascii="Arial" w:hAnsi="Arial"/>
                <w:sz w:val="20"/>
                <w:szCs w:val="2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rFonts w:ascii="Arial" w:hAnsi="Arial"/>
                <w:sz w:val="20"/>
                <w:szCs w:val="20"/>
              </w:rPr>
            </w:pPr>
            <w:r>
              <w:rPr>
                <w:sz w:val="22"/>
                <w:szCs w:val="22"/>
              </w:rPr>
              <w:t>5.4. Representar y visualizar de forma eficiente los conceptos de Química que presenten mayores dificultades utilizando herramientas digitales y recursos variados, incluyendo experiencias de laboratorio real y virtual.</w:t>
            </w:r>
          </w:p>
          <w:p>
            <w:pPr>
              <w:pStyle w:val="Normal"/>
              <w:widowControl w:val="false"/>
              <w:spacing w:lineRule="auto" w:line="240" w:before="0" w:after="0"/>
              <w:rPr>
                <w:rFonts w:ascii="Arial" w:hAnsi="Arial"/>
                <w:sz w:val="20"/>
                <w:szCs w:val="2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
              <w:widowControl w:val="false"/>
              <w:spacing w:lineRule="auto" w:line="240" w:before="0" w:after="0"/>
              <w:rPr>
                <w:rFonts w:ascii="Arial" w:hAnsi="Arial"/>
                <w:sz w:val="20"/>
                <w:szCs w:val="2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rFonts w:ascii="Arial" w:hAnsi="Arial"/>
                <w:sz w:val="20"/>
                <w:szCs w:val="2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p>
            <w:pPr>
              <w:pStyle w:val="Normal"/>
              <w:widowControl w:val="false"/>
              <w:spacing w:lineRule="auto" w:line="240" w:before="0" w:after="0"/>
              <w:rPr>
                <w:rFonts w:ascii="Calibri" w:hAnsi="Calibri"/>
                <w:sz w:val="22"/>
                <w:szCs w:val="22"/>
              </w:rPr>
            </w:pPr>
            <w:r>
              <w:rPr>
                <w:sz w:val="22"/>
                <w:szCs w:val="22"/>
              </w:rPr>
            </w:r>
          </w:p>
        </w:tc>
      </w:tr>
      <w:tr>
        <w:trPr/>
        <w:tc>
          <w:tcPr>
            <w:tcW w:w="11069" w:type="dxa"/>
            <w:gridSpan w:val="2"/>
            <w:tcBorders/>
            <w:shd w:color="auto" w:fill="92CDDC" w:themeFill="accent5" w:themeFillTint="99" w:val="clear"/>
          </w:tcPr>
          <w:p>
            <w:pPr>
              <w:pStyle w:val="Normal"/>
              <w:widowControl w:val="false"/>
              <w:spacing w:lineRule="auto" w:line="240" w:before="0" w:after="0"/>
              <w:jc w:val="center"/>
              <w:rPr>
                <w:rFonts w:ascii="Arial" w:hAnsi="Arial"/>
                <w:sz w:val="20"/>
                <w:szCs w:val="20"/>
              </w:rPr>
            </w:pPr>
            <w:r>
              <w:rPr>
                <w:b/>
                <w:sz w:val="22"/>
                <w:szCs w:val="22"/>
              </w:rPr>
              <w:t>B. Reacciones químicas</w:t>
            </w:r>
          </w:p>
        </w:tc>
      </w:tr>
      <w:tr>
        <w:trPr/>
        <w:tc>
          <w:tcPr>
            <w:tcW w:w="11069" w:type="dxa"/>
            <w:gridSpan w:val="2"/>
            <w:tcBorders/>
            <w:shd w:color="auto" w:fill="DBE5F1" w:themeFill="accent1" w:themeFillTint="33" w:val="clear"/>
          </w:tcPr>
          <w:p>
            <w:pPr>
              <w:pStyle w:val="Normal"/>
              <w:widowControl w:val="false"/>
              <w:spacing w:lineRule="auto" w:line="240" w:before="0" w:after="0"/>
              <w:rPr>
                <w:rFonts w:ascii="Arial" w:hAnsi="Arial"/>
                <w:sz w:val="20"/>
                <w:szCs w:val="20"/>
              </w:rPr>
            </w:pPr>
            <w:r>
              <w:rPr>
                <w:sz w:val="22"/>
                <w:szCs w:val="22"/>
              </w:rPr>
              <w:t>En este bloque se profundiza en el concepto de reacción química, estudiando sus aspectos energéticos (termoquímica), dinámicos (cinética) y de equilibrio (equilibrio químico). Se analiza el calor intercambiado y su espontaneidad, así́ como los factores que modifican tanto la velocidad de reacción como el desplazamiento de su equilibrio. Así mismo se estudian los equilibrios de solubilidad, ácido base y de reducción-oxidación.</w:t>
            </w:r>
          </w:p>
        </w:tc>
      </w:tr>
      <w:tr>
        <w:trPr/>
        <w:tc>
          <w:tcPr>
            <w:tcW w:w="6105" w:type="dxa"/>
            <w:tcBorders/>
            <w:shd w:color="auto" w:fill="D9D9D9" w:themeFill="background1" w:themeFillShade="d9" w:val="clear"/>
          </w:tcPr>
          <w:p>
            <w:pPr>
              <w:pStyle w:val="Normal"/>
              <w:widowControl w:val="false"/>
              <w:spacing w:lineRule="auto" w:line="240" w:before="0" w:after="0"/>
              <w:jc w:val="center"/>
              <w:rPr>
                <w:rFonts w:ascii="Arial" w:hAnsi="Arial"/>
                <w:sz w:val="20"/>
                <w:szCs w:val="20"/>
              </w:rPr>
            </w:pPr>
            <w:r>
              <w:rPr>
                <w:i/>
                <w:sz w:val="22"/>
                <w:szCs w:val="22"/>
              </w:rPr>
              <w:t>Conocimientos, destrezas y actitudes</w:t>
            </w:r>
          </w:p>
        </w:tc>
        <w:tc>
          <w:tcPr>
            <w:tcW w:w="4964" w:type="dxa"/>
            <w:tcBorders/>
            <w:shd w:color="auto" w:fill="D9D9D9" w:themeFill="background1" w:themeFillShade="d9" w:val="clear"/>
          </w:tcPr>
          <w:p>
            <w:pPr>
              <w:pStyle w:val="Normal"/>
              <w:widowControl w:val="false"/>
              <w:spacing w:lineRule="auto" w:line="240" w:before="0" w:after="0"/>
              <w:jc w:val="center"/>
              <w:rPr>
                <w:rFonts w:ascii="Arial" w:hAnsi="Arial"/>
                <w:sz w:val="20"/>
                <w:szCs w:val="20"/>
              </w:rPr>
            </w:pPr>
            <w:r>
              <w:rPr>
                <w:i/>
                <w:sz w:val="22"/>
                <w:szCs w:val="22"/>
              </w:rPr>
              <w:t xml:space="preserve">Criterios de evaluación </w:t>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Unidad . Termodinámica química:</w:t>
            </w:r>
          </w:p>
          <w:p>
            <w:pPr>
              <w:pStyle w:val="DC1"/>
              <w:widowControl w:val="false"/>
              <w:numPr>
                <w:ilvl w:val="0"/>
                <w:numId w:val="1"/>
              </w:numPr>
              <w:ind w:left="0" w:hanging="0"/>
              <w:rPr>
                <w:rFonts w:ascii="Arial" w:hAnsi="Arial"/>
                <w:sz w:val="20"/>
                <w:szCs w:val="20"/>
              </w:rPr>
            </w:pPr>
            <w:r>
              <w:rPr>
                <w:sz w:val="22"/>
                <w:szCs w:val="22"/>
              </w:rPr>
              <w:t>Primer principio de la termodinámica: intercambios de energía entre sistemas a través del calor y del trabajo.</w:t>
            </w:r>
          </w:p>
          <w:p>
            <w:pPr>
              <w:pStyle w:val="DC1"/>
              <w:widowControl w:val="false"/>
              <w:numPr>
                <w:ilvl w:val="0"/>
                <w:numId w:val="1"/>
              </w:numPr>
              <w:ind w:left="0" w:hanging="0"/>
              <w:rPr>
                <w:rFonts w:ascii="Arial" w:hAnsi="Arial"/>
                <w:sz w:val="20"/>
                <w:szCs w:val="20"/>
              </w:rPr>
            </w:pPr>
            <w:r>
              <w:rPr>
                <w:sz w:val="22"/>
                <w:szCs w:val="22"/>
              </w:rPr>
              <w:t>Ecuaciones termoquímicas. Concepto de entalpía de reacción. Procesos endotérmicos y exotérmicos.</w:t>
            </w:r>
          </w:p>
          <w:p>
            <w:pPr>
              <w:pStyle w:val="DC1"/>
              <w:widowControl w:val="false"/>
              <w:numPr>
                <w:ilvl w:val="0"/>
                <w:numId w:val="1"/>
              </w:numPr>
              <w:ind w:left="0" w:hanging="0"/>
              <w:rPr>
                <w:rFonts w:ascii="Arial" w:hAnsi="Arial"/>
                <w:sz w:val="20"/>
                <w:szCs w:val="20"/>
              </w:rPr>
            </w:pPr>
            <w:r>
              <w:rPr>
                <w:sz w:val="22"/>
                <w:szCs w:val="22"/>
              </w:rPr>
              <w:t>Balance energético entre productos y reactivos mediante la ley de Hess, a través de la entalpía de formación estándar o de las energías de enlace, para obtener la entalpía de una reacción.</w:t>
            </w:r>
          </w:p>
          <w:p>
            <w:pPr>
              <w:pStyle w:val="DC1"/>
              <w:widowControl w:val="false"/>
              <w:numPr>
                <w:ilvl w:val="0"/>
                <w:numId w:val="1"/>
              </w:numPr>
              <w:ind w:left="0" w:hanging="0"/>
              <w:rPr>
                <w:rFonts w:ascii="Arial" w:hAnsi="Arial"/>
                <w:sz w:val="20"/>
                <w:szCs w:val="20"/>
              </w:rPr>
            </w:pPr>
            <w:r>
              <w:rPr>
                <w:sz w:val="22"/>
                <w:szCs w:val="22"/>
              </w:rPr>
              <w:t>Segundo principio de la termodinámica. La entropía como magnitud que afecta a la espontaneidad e irreversibilidad de los procesos químicos.</w:t>
            </w:r>
          </w:p>
          <w:p>
            <w:pPr>
              <w:pStyle w:val="DC1"/>
              <w:widowControl w:val="false"/>
              <w:numPr>
                <w:ilvl w:val="0"/>
                <w:numId w:val="1"/>
              </w:numPr>
              <w:ind w:left="0" w:hanging="0"/>
              <w:rPr>
                <w:rFonts w:ascii="Arial" w:hAnsi="Arial"/>
                <w:sz w:val="20"/>
                <w:szCs w:val="20"/>
              </w:rPr>
            </w:pPr>
            <w:r>
              <w:rPr>
                <w:sz w:val="22"/>
                <w:szCs w:val="22"/>
              </w:rPr>
              <w:t>Cálculo de la energía de Gibbs de las reacciones Químicas y espontaneidad de las mismas en función de la temperatura del sistema.</w:t>
            </w:r>
          </w:p>
        </w:tc>
        <w:tc>
          <w:tcPr>
            <w:tcW w:w="4964" w:type="dxa"/>
            <w:tcBorders/>
            <w:shd w:color="auto" w:fill="auto" w:val="clear"/>
          </w:tcPr>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Unidad  Cinética Química:</w:t>
            </w:r>
          </w:p>
          <w:p>
            <w:pPr>
              <w:pStyle w:val="DC1"/>
              <w:widowControl w:val="false"/>
              <w:numPr>
                <w:ilvl w:val="0"/>
                <w:numId w:val="1"/>
              </w:numPr>
              <w:ind w:left="0" w:hanging="0"/>
              <w:rPr>
                <w:rFonts w:ascii="Arial" w:hAnsi="Arial"/>
                <w:sz w:val="20"/>
                <w:szCs w:val="20"/>
              </w:rPr>
            </w:pPr>
            <w:r>
              <w:rPr>
                <w:sz w:val="22"/>
                <w:szCs w:val="22"/>
              </w:rPr>
              <w:t>Teoría de las colisiones como modelo a escala microscópica de las reacciones químicas. Conceptos de velocidad de reacción y energía de activación.</w:t>
            </w:r>
          </w:p>
          <w:p>
            <w:pPr>
              <w:pStyle w:val="DC1"/>
              <w:widowControl w:val="false"/>
              <w:numPr>
                <w:ilvl w:val="0"/>
                <w:numId w:val="1"/>
              </w:numPr>
              <w:ind w:left="0" w:hanging="0"/>
              <w:rPr>
                <w:rFonts w:ascii="Arial" w:hAnsi="Arial"/>
                <w:sz w:val="20"/>
                <w:szCs w:val="20"/>
              </w:rPr>
            </w:pPr>
            <w:r>
              <w:rPr>
                <w:sz w:val="22"/>
                <w:szCs w:val="22"/>
              </w:rPr>
              <w:t>Influencia de las condiciones de reacción sobre la velocidad de la misma.</w:t>
            </w:r>
          </w:p>
          <w:p>
            <w:pPr>
              <w:pStyle w:val="DC1"/>
              <w:widowControl w:val="false"/>
              <w:numPr>
                <w:ilvl w:val="0"/>
                <w:numId w:val="1"/>
              </w:numPr>
              <w:ind w:left="0" w:hanging="0"/>
              <w:rPr>
                <w:rFonts w:ascii="Arial" w:hAnsi="Arial"/>
                <w:sz w:val="20"/>
                <w:szCs w:val="20"/>
              </w:rPr>
            </w:pPr>
            <w:r>
              <w:rPr>
                <w:sz w:val="22"/>
                <w:szCs w:val="22"/>
              </w:rPr>
              <w:t>Ley diferencial de la velocidad de una reacción química y los órdenes de reacción a partir de datos experimentales de velocidad de reacción.</w:t>
            </w:r>
          </w:p>
        </w:tc>
        <w:tc>
          <w:tcPr>
            <w:tcW w:w="4964" w:type="dxa"/>
            <w:tcBorders/>
            <w:shd w:color="auto" w:fill="auto" w:val="clear"/>
          </w:tcPr>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Uniudad . Equilibrio químico:</w:t>
            </w:r>
          </w:p>
          <w:p>
            <w:pPr>
              <w:pStyle w:val="DC1"/>
              <w:widowControl w:val="false"/>
              <w:numPr>
                <w:ilvl w:val="0"/>
                <w:numId w:val="1"/>
              </w:numPr>
              <w:ind w:left="0" w:hanging="0"/>
              <w:rPr>
                <w:rFonts w:ascii="Arial" w:hAnsi="Arial"/>
                <w:sz w:val="20"/>
                <w:szCs w:val="20"/>
              </w:rPr>
            </w:pPr>
            <w:r>
              <w:rPr>
                <w:sz w:val="22"/>
                <w:szCs w:val="22"/>
              </w:rPr>
              <w:t>El equilibrio químico como proceso dinámico: ecuaciones de velocidad y aspectos termodinámicos. Expresión de la constante de equilibrio mediante la ley de acción de masas.</w:t>
            </w:r>
          </w:p>
          <w:p>
            <w:pPr>
              <w:pStyle w:val="DC1"/>
              <w:widowControl w:val="false"/>
              <w:numPr>
                <w:ilvl w:val="0"/>
                <w:numId w:val="1"/>
              </w:numPr>
              <w:ind w:left="0" w:hanging="0"/>
              <w:rPr>
                <w:rFonts w:ascii="Arial" w:hAnsi="Arial"/>
                <w:sz w:val="20"/>
                <w:szCs w:val="20"/>
              </w:rPr>
            </w:pPr>
            <w:r>
              <w:rPr>
                <w:sz w:val="22"/>
                <w:szCs w:val="22"/>
              </w:rPr>
              <w:t>La constante de equilibrio de reacciones en las que los reactivos se encuentren en diferente estado físico. Relación entre KC y KP y producto de solubilidad en equilibrios heterogéneos.</w:t>
            </w:r>
          </w:p>
          <w:p>
            <w:pPr>
              <w:pStyle w:val="DC1"/>
              <w:widowControl w:val="false"/>
              <w:numPr>
                <w:ilvl w:val="0"/>
                <w:numId w:val="1"/>
              </w:numPr>
              <w:ind w:left="0" w:hanging="0"/>
              <w:rPr>
                <w:rFonts w:ascii="Arial" w:hAnsi="Arial"/>
                <w:sz w:val="20"/>
                <w:szCs w:val="20"/>
              </w:rPr>
            </w:pPr>
            <w:r>
              <w:rPr>
                <w:sz w:val="22"/>
                <w:szCs w:val="22"/>
              </w:rPr>
              <w:t>Principio de Le Châtelier y el cociente de reacción. Evolución de sistemas en equilibrio a partir de la variación de las condiciones de concentración, presión o temperatura del sistema.</w:t>
            </w:r>
          </w:p>
        </w:tc>
        <w:tc>
          <w:tcPr>
            <w:tcW w:w="4964" w:type="dxa"/>
            <w:tcBorders/>
            <w:shd w:color="auto" w:fill="auto" w:val="clear"/>
          </w:tcPr>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Unidad. Reacciones ácido-base:</w:t>
            </w:r>
          </w:p>
          <w:p>
            <w:pPr>
              <w:pStyle w:val="DC1"/>
              <w:widowControl w:val="false"/>
              <w:numPr>
                <w:ilvl w:val="0"/>
                <w:numId w:val="1"/>
              </w:numPr>
              <w:ind w:left="0" w:hanging="0"/>
              <w:rPr>
                <w:rFonts w:ascii="Arial" w:hAnsi="Arial"/>
                <w:sz w:val="20"/>
                <w:szCs w:val="20"/>
              </w:rPr>
            </w:pPr>
            <w:r>
              <w:rPr>
                <w:sz w:val="22"/>
                <w:szCs w:val="22"/>
              </w:rPr>
              <w:t>Naturaleza ácida o básica de una sustancia a partir de las teorías de Arrhenius y de Brønsted y Lowry.</w:t>
            </w:r>
          </w:p>
          <w:p>
            <w:pPr>
              <w:pStyle w:val="DC1"/>
              <w:widowControl w:val="false"/>
              <w:numPr>
                <w:ilvl w:val="0"/>
                <w:numId w:val="1"/>
              </w:numPr>
              <w:ind w:left="0" w:hanging="0"/>
              <w:rPr>
                <w:rFonts w:ascii="Arial" w:hAnsi="Arial"/>
                <w:sz w:val="20"/>
                <w:szCs w:val="20"/>
              </w:rPr>
            </w:pPr>
            <w:r>
              <w:rPr>
                <w:sz w:val="22"/>
                <w:szCs w:val="22"/>
              </w:rPr>
              <w:t>Ácidos y bases fuertes y débiles. Grado de disociación en disolución acuosa.</w:t>
            </w:r>
          </w:p>
          <w:p>
            <w:pPr>
              <w:pStyle w:val="DC1"/>
              <w:widowControl w:val="false"/>
              <w:numPr>
                <w:ilvl w:val="0"/>
                <w:numId w:val="1"/>
              </w:numPr>
              <w:ind w:left="0" w:hanging="0"/>
              <w:rPr>
                <w:rFonts w:ascii="Arial" w:hAnsi="Arial"/>
                <w:sz w:val="20"/>
                <w:szCs w:val="20"/>
              </w:rPr>
            </w:pPr>
            <w:r>
              <w:rPr>
                <w:sz w:val="22"/>
                <w:szCs w:val="22"/>
              </w:rPr>
              <w:t>pH de disoluciones ácidas y básicas. Expresión de las constantes Ka y Kb.</w:t>
            </w:r>
          </w:p>
          <w:p>
            <w:pPr>
              <w:pStyle w:val="DC1"/>
              <w:widowControl w:val="false"/>
              <w:numPr>
                <w:ilvl w:val="0"/>
                <w:numId w:val="1"/>
              </w:numPr>
              <w:ind w:left="0" w:hanging="0"/>
              <w:rPr>
                <w:rFonts w:ascii="Arial" w:hAnsi="Arial"/>
                <w:sz w:val="20"/>
                <w:szCs w:val="20"/>
              </w:rPr>
            </w:pPr>
            <w:r>
              <w:rPr>
                <w:sz w:val="22"/>
                <w:szCs w:val="22"/>
              </w:rPr>
              <w:t>Concepto de pares ácido y base conjugados. Carácter ácido o básico de disoluciones en las que se produce la hidrólisis de una sal. Estudio cualitativo de las disoluciones reguladoras de pH.</w:t>
            </w:r>
          </w:p>
          <w:p>
            <w:pPr>
              <w:pStyle w:val="DC1"/>
              <w:widowControl w:val="false"/>
              <w:numPr>
                <w:ilvl w:val="0"/>
                <w:numId w:val="1"/>
              </w:numPr>
              <w:ind w:left="0" w:hanging="0"/>
              <w:rPr>
                <w:rFonts w:ascii="Arial" w:hAnsi="Arial"/>
                <w:sz w:val="20"/>
                <w:szCs w:val="20"/>
              </w:rPr>
            </w:pPr>
            <w:r>
              <w:rPr>
                <w:sz w:val="22"/>
                <w:szCs w:val="22"/>
              </w:rPr>
              <w:t>Reacciones entre ácidos y bases. Concepto de neutralización. Volumetrías ácido-base.</w:t>
            </w:r>
          </w:p>
          <w:p>
            <w:pPr>
              <w:pStyle w:val="DC1"/>
              <w:widowControl w:val="false"/>
              <w:numPr>
                <w:ilvl w:val="0"/>
                <w:numId w:val="1"/>
              </w:numPr>
              <w:ind w:left="0" w:hanging="0"/>
              <w:rPr>
                <w:rFonts w:ascii="Arial" w:hAnsi="Arial"/>
                <w:sz w:val="20"/>
                <w:szCs w:val="20"/>
              </w:rPr>
            </w:pPr>
            <w:r>
              <w:rPr>
                <w:sz w:val="22"/>
                <w:szCs w:val="22"/>
              </w:rPr>
              <w:t>Ácidos y bases relevantes a nivel industrial y de consumo, con especial incidencia en el proceso de la conservación del medioambiente.</w:t>
            </w:r>
          </w:p>
        </w:tc>
        <w:tc>
          <w:tcPr>
            <w:tcW w:w="4964" w:type="dxa"/>
            <w:tcBorders/>
            <w:shd w:color="auto" w:fill="auto" w:val="clear"/>
          </w:tcPr>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r>
        <w:trPr/>
        <w:tc>
          <w:tcPr>
            <w:tcW w:w="6105" w:type="dxa"/>
            <w:tcBorders/>
            <w:shd w:color="auto" w:fill="auto" w:val="clear"/>
          </w:tcPr>
          <w:p>
            <w:pPr>
              <w:pStyle w:val="Normal"/>
              <w:widowControl w:val="false"/>
              <w:spacing w:lineRule="auto" w:line="240" w:before="0" w:after="0"/>
              <w:rPr>
                <w:rFonts w:ascii="Arial" w:hAnsi="Arial"/>
                <w:sz w:val="20"/>
                <w:szCs w:val="20"/>
              </w:rPr>
            </w:pPr>
            <w:r>
              <w:rPr>
                <w:b/>
                <w:sz w:val="22"/>
                <w:szCs w:val="22"/>
              </w:rPr>
              <w:t>Unidad  Reacciones redox:</w:t>
            </w:r>
          </w:p>
          <w:p>
            <w:pPr>
              <w:pStyle w:val="DC1"/>
              <w:widowControl w:val="false"/>
              <w:numPr>
                <w:ilvl w:val="0"/>
                <w:numId w:val="1"/>
              </w:numPr>
              <w:ind w:left="0" w:hanging="0"/>
              <w:rPr>
                <w:rFonts w:ascii="Arial" w:hAnsi="Arial"/>
                <w:sz w:val="20"/>
                <w:szCs w:val="20"/>
              </w:rPr>
            </w:pPr>
            <w:r>
              <w:rPr>
                <w:sz w:val="22"/>
                <w:szCs w:val="22"/>
              </w:rPr>
              <w:t>Estado de oxidación. Especies que se reducen u oxidan en una reacción a partir de la variación de su número de oxidación.</w:t>
            </w:r>
          </w:p>
          <w:p>
            <w:pPr>
              <w:pStyle w:val="DC1"/>
              <w:widowControl w:val="false"/>
              <w:numPr>
                <w:ilvl w:val="0"/>
                <w:numId w:val="1"/>
              </w:numPr>
              <w:ind w:left="0" w:hanging="0"/>
              <w:rPr>
                <w:rFonts w:ascii="Arial" w:hAnsi="Arial"/>
                <w:sz w:val="20"/>
                <w:szCs w:val="20"/>
              </w:rPr>
            </w:pPr>
            <w:r>
              <w:rPr>
                <w:sz w:val="22"/>
                <w:szCs w:val="22"/>
              </w:rPr>
              <w:t>Método del ion-electrón para ajustar ecuaciones Químicas de oxidación-reducción. Cálculos estequiométricos y volumetrías redox.</w:t>
            </w:r>
          </w:p>
          <w:p>
            <w:pPr>
              <w:pStyle w:val="DC1"/>
              <w:widowControl w:val="false"/>
              <w:numPr>
                <w:ilvl w:val="0"/>
                <w:numId w:val="1"/>
              </w:numPr>
              <w:ind w:left="0" w:hanging="0"/>
              <w:rPr>
                <w:rFonts w:ascii="Arial" w:hAnsi="Arial"/>
                <w:sz w:val="20"/>
                <w:szCs w:val="20"/>
              </w:rPr>
            </w:pPr>
            <w:r>
              <w:rPr>
                <w:sz w:val="22"/>
                <w:szCs w:val="22"/>
              </w:rPr>
              <w:t>Potencial estándar de un par redox. Espontaneidad de procesos químicos y electroquímicos que impliquen a dos pares redox.</w:t>
            </w:r>
          </w:p>
          <w:p>
            <w:pPr>
              <w:pStyle w:val="DC1"/>
              <w:widowControl w:val="false"/>
              <w:numPr>
                <w:ilvl w:val="0"/>
                <w:numId w:val="1"/>
              </w:numPr>
              <w:ind w:left="0" w:hanging="0"/>
              <w:rPr>
                <w:rFonts w:ascii="Arial" w:hAnsi="Arial"/>
                <w:sz w:val="20"/>
                <w:szCs w:val="20"/>
              </w:rPr>
            </w:pPr>
            <w:r>
              <w:rPr>
                <w:sz w:val="22"/>
                <w:szCs w:val="22"/>
              </w:rPr>
              <w:t>Leyes de Faraday: cantidad de carga eléctrica y las cantidades de sustancia en un proceso electroquímico. Cálculos estequiométricos en cubas electrolíticas.</w:t>
            </w:r>
          </w:p>
          <w:p>
            <w:pPr>
              <w:pStyle w:val="DC1"/>
              <w:widowControl w:val="false"/>
              <w:numPr>
                <w:ilvl w:val="0"/>
                <w:numId w:val="1"/>
              </w:numPr>
              <w:ind w:left="0" w:hanging="0"/>
              <w:rPr>
                <w:rFonts w:ascii="Arial" w:hAnsi="Arial"/>
                <w:sz w:val="20"/>
                <w:szCs w:val="20"/>
              </w:rPr>
            </w:pPr>
            <w:r>
              <w:rPr>
                <w:sz w:val="22"/>
                <w:szCs w:val="22"/>
              </w:rPr>
              <w:t>Reacciones de oxidación y reducción en la fabricación y funcionamiento de baterías eléctricas, celdas electrolíticas y pilas de combustible, así como en la prevención de la corrosión de metales.</w:t>
            </w:r>
          </w:p>
        </w:tc>
        <w:tc>
          <w:tcPr>
            <w:tcW w:w="4964" w:type="dxa"/>
            <w:tcBorders/>
            <w:shd w:color="auto" w:fill="auto" w:val="clear"/>
          </w:tcPr>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rFonts w:ascii="Arial" w:hAnsi="Arial"/>
                <w:sz w:val="20"/>
                <w:szCs w:val="20"/>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bl>
    <w:p>
      <w:pPr>
        <w:pStyle w:val="Normal"/>
        <w:rPr>
          <w:rFonts w:ascii="Calibri" w:hAnsi="Calibri" w:eastAsia="Cambria" w:cs="Cambria"/>
          <w:b/>
          <w:b/>
          <w:sz w:val="22"/>
          <w:szCs w:val="22"/>
          <w:u w:val="single"/>
        </w:rPr>
      </w:pPr>
      <w:r>
        <w:rPr>
          <w:rFonts w:eastAsia="Cambria" w:cs="Cambria"/>
          <w:b/>
          <w:sz w:val="22"/>
          <w:szCs w:val="22"/>
          <w:u w:val="single"/>
        </w:rPr>
      </w:r>
    </w:p>
    <w:p>
      <w:pPr>
        <w:pStyle w:val="Normal"/>
        <w:jc w:val="both"/>
        <w:rPr>
          <w:rFonts w:ascii="Arial" w:hAnsi="Arial"/>
          <w:sz w:val="20"/>
          <w:szCs w:val="20"/>
        </w:rPr>
      </w:pPr>
      <w:r>
        <w:rPr>
          <w:rFonts w:eastAsia="Cambria" w:cs="Cambria"/>
          <w:b/>
          <w:sz w:val="22"/>
          <w:szCs w:val="22"/>
          <w:u w:val="single"/>
        </w:rPr>
        <w:t xml:space="preserve">Temporalizacion: </w:t>
      </w:r>
    </w:p>
    <w:p>
      <w:pPr>
        <w:pStyle w:val="Normal"/>
        <w:jc w:val="both"/>
        <w:rPr>
          <w:rFonts w:ascii="Arial" w:hAnsi="Arial"/>
          <w:b w:val="false"/>
          <w:b w:val="false"/>
          <w:bCs w:val="false"/>
          <w:sz w:val="20"/>
          <w:szCs w:val="20"/>
          <w:u w:val="none"/>
        </w:rPr>
      </w:pPr>
      <w:r>
        <w:rPr>
          <w:rFonts w:eastAsia="Cambria" w:cs="Cambria"/>
          <w:b w:val="false"/>
          <w:bCs w:val="false"/>
          <w:sz w:val="22"/>
          <w:szCs w:val="22"/>
          <w:u w:val="none"/>
        </w:rPr>
        <w:t xml:space="preserve">1ªEVA Termodinámica y Cinética Química  </w:t>
      </w:r>
    </w:p>
    <w:p>
      <w:pPr>
        <w:pStyle w:val="Normal"/>
        <w:jc w:val="both"/>
        <w:rPr>
          <w:rFonts w:ascii="Arial" w:hAnsi="Arial"/>
          <w:b w:val="false"/>
          <w:b w:val="false"/>
          <w:bCs w:val="false"/>
          <w:sz w:val="20"/>
          <w:szCs w:val="20"/>
          <w:u w:val="none"/>
        </w:rPr>
      </w:pPr>
      <w:r>
        <w:rPr>
          <w:rFonts w:eastAsia="Cambria" w:cs="Cambria"/>
          <w:b w:val="false"/>
          <w:bCs w:val="false"/>
          <w:sz w:val="22"/>
          <w:szCs w:val="22"/>
          <w:u w:val="none"/>
        </w:rPr>
        <w:t xml:space="preserve">2ªEVA Equilibrio y Reacciones Ácido Base </w:t>
      </w:r>
    </w:p>
    <w:p>
      <w:pPr>
        <w:pStyle w:val="Normal"/>
        <w:jc w:val="both"/>
        <w:rPr>
          <w:rFonts w:ascii="Arial" w:hAnsi="Arial"/>
          <w:b w:val="false"/>
          <w:b w:val="false"/>
          <w:bCs w:val="false"/>
          <w:sz w:val="20"/>
          <w:szCs w:val="20"/>
          <w:u w:val="none"/>
        </w:rPr>
      </w:pPr>
      <w:r>
        <w:rPr>
          <w:rFonts w:eastAsia="Cambria" w:cs="Cambria"/>
          <w:b w:val="false"/>
          <w:bCs w:val="false"/>
          <w:sz w:val="22"/>
          <w:szCs w:val="22"/>
          <w:u w:val="none"/>
        </w:rPr>
        <w:t>3ªEVA Reacciones Redor, Estructura atómica, Sistema periódico y Enlace</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mbria" w:hAnsi="Cambria" w:eastAsia="Cambria" w:cs="Cambria"/>
          <w:b/>
          <w:b/>
          <w:u w:val="single"/>
        </w:rPr>
      </w:pPr>
      <w:r>
        <w:rPr>
          <w:rFonts w:eastAsia="Cambria" w:cs="Cambria"/>
          <w:b/>
          <w:sz w:val="22"/>
          <w:szCs w:val="22"/>
          <w:u w:val="single"/>
        </w:rPr>
        <w:t>3. PROCEDIMIENTOS E INSTRUMENTOS DE EVALUACIÓN</w:t>
      </w:r>
    </w:p>
    <w:p>
      <w:pPr>
        <w:pStyle w:val="Estiloparrafos"/>
        <w:spacing w:before="0" w:after="120"/>
        <w:rPr>
          <w:rFonts w:ascii="Arial" w:hAnsi="Arial"/>
          <w:sz w:val="20"/>
          <w:szCs w:val="20"/>
        </w:rPr>
      </w:pPr>
      <w:r>
        <w:rPr>
          <w:rFonts w:ascii="Calibri" w:hAnsi="Calibri"/>
          <w:sz w:val="22"/>
          <w:szCs w:val="22"/>
        </w:rPr>
        <w:t>Por medio de los procedimientos evaluaremos, no solo al alumno, sino también la actividad educativa que se desarrolla en el aula, así como todos los elementos que integran el proceso de enseñanza-aprendizaje.</w:t>
      </w:r>
    </w:p>
    <w:p>
      <w:pPr>
        <w:pStyle w:val="Estiloparrafos"/>
        <w:spacing w:before="0" w:after="120"/>
        <w:rPr>
          <w:rFonts w:ascii="Arial" w:hAnsi="Arial"/>
          <w:sz w:val="20"/>
          <w:szCs w:val="20"/>
        </w:rPr>
      </w:pPr>
      <w:r>
        <w:rPr>
          <w:rFonts w:ascii="Calibri" w:hAnsi="Calibri"/>
          <w:sz w:val="22"/>
          <w:szCs w:val="22"/>
        </w:rPr>
        <w:t>De esta manera las actividades de evaluación servirán para conocer la adecuación del proceso educativo a las características del alumno (evaluación continua), y ajustar la ayuda pedagógica a sus necesidades reales (evaluación formativa); y conocer, en definitiva, el nivel de desarrollo intelectual y personal alcanzado por el alumno, en todos sus aspectos, y como resultado de la intervención educativa (evaluación integradora).</w:t>
      </w:r>
    </w:p>
    <w:p>
      <w:pPr>
        <w:pStyle w:val="Estiloparrafos"/>
        <w:spacing w:before="0" w:after="120"/>
        <w:rPr>
          <w:rFonts w:ascii="Arial" w:hAnsi="Arial"/>
          <w:sz w:val="20"/>
          <w:szCs w:val="20"/>
        </w:rPr>
      </w:pPr>
      <w:r>
        <w:rPr>
          <w:rFonts w:ascii="Calibri" w:hAnsi="Calibri"/>
          <w:sz w:val="22"/>
          <w:szCs w:val="22"/>
        </w:rPr>
        <w:t xml:space="preserve">Los </w:t>
      </w:r>
      <w:r>
        <w:rPr>
          <w:rFonts w:ascii="Calibri" w:hAnsi="Calibri"/>
          <w:b/>
          <w:bCs/>
          <w:sz w:val="22"/>
          <w:szCs w:val="22"/>
        </w:rPr>
        <w:t>instrumentos de evaluación</w:t>
      </w:r>
      <w:r>
        <w:rPr>
          <w:rFonts w:ascii="Calibri" w:hAnsi="Calibri"/>
          <w:sz w:val="22"/>
          <w:szCs w:val="22"/>
        </w:rPr>
        <w:t xml:space="preserve"> que utilizaremos son los siguientes: </w:t>
      </w:r>
    </w:p>
    <w:p>
      <w:pPr>
        <w:pStyle w:val="Estiloparrafos"/>
        <w:numPr>
          <w:ilvl w:val="0"/>
          <w:numId w:val="2"/>
        </w:numPr>
        <w:spacing w:before="0" w:after="120"/>
        <w:ind w:left="567" w:hanging="360"/>
        <w:rPr>
          <w:rFonts w:ascii="Arial" w:hAnsi="Arial"/>
          <w:sz w:val="20"/>
          <w:szCs w:val="20"/>
        </w:rPr>
      </w:pPr>
      <w:r>
        <w:rPr>
          <w:rFonts w:ascii="Calibri" w:hAnsi="Calibri"/>
          <w:sz w:val="22"/>
          <w:szCs w:val="22"/>
        </w:rPr>
        <w:t>Observación sistemática del trabajo diario (atención, participación, colaboración y respeto a los demás y a los materiales).</w:t>
      </w:r>
    </w:p>
    <w:p>
      <w:pPr>
        <w:pStyle w:val="Estiloparrafos"/>
        <w:numPr>
          <w:ilvl w:val="0"/>
          <w:numId w:val="2"/>
        </w:numPr>
        <w:spacing w:before="0" w:after="120"/>
        <w:ind w:left="567" w:hanging="360"/>
        <w:rPr>
          <w:rFonts w:ascii="Arial" w:hAnsi="Arial"/>
          <w:sz w:val="20"/>
          <w:szCs w:val="20"/>
        </w:rPr>
      </w:pPr>
      <w:r>
        <w:rPr>
          <w:rFonts w:ascii="Calibri" w:hAnsi="Calibri"/>
          <w:sz w:val="22"/>
          <w:szCs w:val="22"/>
        </w:rPr>
        <w:t xml:space="preserve">Realización de un cuestionarios web o de trabajos. </w:t>
      </w:r>
    </w:p>
    <w:p>
      <w:pPr>
        <w:pStyle w:val="Estiloparrafos"/>
        <w:numPr>
          <w:ilvl w:val="0"/>
          <w:numId w:val="2"/>
        </w:numPr>
        <w:spacing w:before="0" w:after="120"/>
        <w:ind w:left="567" w:hanging="360"/>
        <w:rPr>
          <w:rFonts w:ascii="Arial" w:hAnsi="Arial"/>
          <w:sz w:val="20"/>
          <w:szCs w:val="20"/>
        </w:rPr>
      </w:pPr>
      <w:r>
        <w:rPr>
          <w:rFonts w:ascii="Calibri" w:hAnsi="Calibri"/>
          <w:sz w:val="22"/>
          <w:szCs w:val="22"/>
        </w:rPr>
        <w:t>Informes de prácticas de laboratorio si las hubiera.</w:t>
      </w:r>
    </w:p>
    <w:p>
      <w:pPr>
        <w:pStyle w:val="Estiloparrafos"/>
        <w:numPr>
          <w:ilvl w:val="0"/>
          <w:numId w:val="2"/>
        </w:numPr>
        <w:spacing w:before="0" w:after="120"/>
        <w:ind w:left="567" w:hanging="360"/>
        <w:rPr>
          <w:rFonts w:ascii="Arial" w:hAnsi="Arial"/>
          <w:sz w:val="20"/>
          <w:szCs w:val="20"/>
        </w:rPr>
      </w:pPr>
      <w:r>
        <w:rPr>
          <w:rFonts w:ascii="Calibri" w:hAnsi="Calibri"/>
          <w:sz w:val="22"/>
          <w:szCs w:val="22"/>
          <w:u w:val="single"/>
        </w:rPr>
        <w:t xml:space="preserve">Exámenes </w:t>
      </w:r>
    </w:p>
    <w:p>
      <w:pPr>
        <w:pStyle w:val="Estiloparrafos"/>
        <w:spacing w:before="0" w:after="120"/>
        <w:ind w:left="567" w:hanging="0"/>
        <w:rPr>
          <w:rFonts w:ascii="Arial" w:hAnsi="Arial"/>
          <w:sz w:val="20"/>
          <w:szCs w:val="20"/>
        </w:rPr>
      </w:pPr>
      <w:r>
        <w:rPr>
          <w:rFonts w:ascii="Calibri" w:hAnsi="Calibri"/>
          <w:sz w:val="22"/>
          <w:szCs w:val="22"/>
        </w:rPr>
        <w:t xml:space="preserve">Las pruebas podrán contener problemas, cuestiones de respuesta concreta, de verdadero-falso, de relacionar conceptos y de interpretación de datos. Se podrá incluir algún texto científico con preguntas sobre lo que han leído. </w:t>
      </w:r>
    </w:p>
    <w:p>
      <w:pPr>
        <w:pStyle w:val="Estiloparrafos"/>
        <w:spacing w:before="0" w:after="120"/>
        <w:ind w:left="567" w:hanging="0"/>
        <w:rPr>
          <w:rFonts w:ascii="Arial" w:hAnsi="Arial"/>
          <w:sz w:val="20"/>
          <w:szCs w:val="20"/>
        </w:rPr>
      </w:pPr>
      <w:r>
        <w:rPr>
          <w:rFonts w:eastAsia="Cambria" w:cs="Cambria" w:ascii="Calibri" w:hAnsi="Calibri"/>
          <w:sz w:val="22"/>
          <w:szCs w:val="22"/>
        </w:rPr>
        <w:t xml:space="preserve">Está previsto realizar dos pruebas escritas por evaluación. </w:t>
      </w:r>
    </w:p>
    <w:p>
      <w:pPr>
        <w:pStyle w:val="Normal"/>
        <w:jc w:val="both"/>
        <w:rPr>
          <w:rFonts w:ascii="Cambria" w:hAnsi="Cambria" w:eastAsia="Cambria" w:cs="Cambria"/>
          <w:b/>
          <w:b/>
          <w:u w:val="single"/>
        </w:rPr>
      </w:pPr>
      <w:r>
        <w:rPr>
          <w:rFonts w:eastAsia="Cambria" w:cs="Cambria"/>
          <w:b/>
          <w:sz w:val="22"/>
          <w:szCs w:val="22"/>
          <w:u w:val="single"/>
        </w:rPr>
        <w:t>4. CRITERIOS DE CALIFICACIÓN</w:t>
      </w:r>
    </w:p>
    <w:p>
      <w:pPr>
        <w:pStyle w:val="Normal"/>
        <w:jc w:val="both"/>
        <w:rPr>
          <w:rFonts w:ascii="Arial" w:hAnsi="Arial"/>
          <w:sz w:val="20"/>
          <w:szCs w:val="20"/>
        </w:rPr>
      </w:pPr>
      <w:r>
        <w:rPr>
          <w:rFonts w:eastAsia="Cambria" w:cs="Cambria"/>
          <w:sz w:val="22"/>
          <w:szCs w:val="22"/>
        </w:rPr>
        <w:t>1. La calificación de cada evaluación se obtiene considerando de forma ponderada los siguientes</w:t>
      </w:r>
    </w:p>
    <w:p>
      <w:pPr>
        <w:pStyle w:val="Normal"/>
        <w:jc w:val="both"/>
        <w:rPr>
          <w:rFonts w:ascii="Arial" w:hAnsi="Arial"/>
          <w:sz w:val="20"/>
          <w:szCs w:val="20"/>
        </w:rPr>
      </w:pPr>
      <w:r>
        <w:rPr>
          <w:rFonts w:eastAsia="Cambria" w:cs="Cambria"/>
          <w:sz w:val="22"/>
          <w:szCs w:val="22"/>
        </w:rPr>
        <w:t>elementos:</w:t>
      </w:r>
    </w:p>
    <w:p>
      <w:pPr>
        <w:pStyle w:val="Normal"/>
        <w:jc w:val="both"/>
        <w:rPr/>
      </w:pPr>
      <w:r>
        <w:rPr>
          <w:rFonts w:eastAsia="Cambria" w:cs="Cambria"/>
          <w:sz w:val="22"/>
          <w:szCs w:val="22"/>
        </w:rPr>
        <w:t xml:space="preserve">    • </w:t>
      </w:r>
      <w:r>
        <w:rPr>
          <w:rFonts w:eastAsia="Cambria" w:cs="Cambria"/>
          <w:sz w:val="22"/>
          <w:szCs w:val="22"/>
        </w:rPr>
        <w:t>95%: la calificación obtenida en las diversas pruebas escritas objetivas.</w:t>
      </w:r>
      <w:r>
        <w:rPr>
          <w:rFonts w:eastAsia="Cambria" w:cs="Cambria" w:ascii="Arial" w:hAnsi="Arial"/>
          <w:sz w:val="20"/>
          <w:szCs w:val="20"/>
        </w:rPr>
        <w:t xml:space="preserve"> Estas estarán diseñadas para incluir la evaluación de cada competencia, tal y como indica el cuadro. </w:t>
      </w:r>
    </w:p>
    <w:p>
      <w:pPr>
        <w:pStyle w:val="Normal"/>
        <w:jc w:val="both"/>
        <w:rPr/>
      </w:pPr>
      <w:r>
        <w:rPr>
          <w:rFonts w:eastAsia="Cambria" w:cs="Cambria"/>
          <w:sz w:val="22"/>
          <w:szCs w:val="22"/>
        </w:rPr>
        <w:t xml:space="preserve">    • </w:t>
      </w:r>
      <w:r>
        <w:rPr>
          <w:rFonts w:eastAsia="Cambria" w:cs="Cambria"/>
          <w:sz w:val="22"/>
          <w:szCs w:val="22"/>
        </w:rPr>
        <w:t>5%: el promedio de las calificaciones de los cuestionarios , de las tareas específicas y de las prácticas que se realicen.</w:t>
      </w:r>
      <w:r>
        <w:rPr>
          <w:rFonts w:eastAsia="Cambria" w:cs="Cambria" w:ascii="Arial" w:hAnsi="Arial"/>
          <w:sz w:val="20"/>
          <w:szCs w:val="20"/>
        </w:rPr>
        <w:t xml:space="preserve"> Estas estarán diseñadas para incluir la evaluación de cada competencia, tal y como indica el cuadro </w:t>
      </w:r>
    </w:p>
    <w:p>
      <w:pPr>
        <w:pStyle w:val="Cuerpodetexto"/>
        <w:bidi w:val="0"/>
        <w:spacing w:lineRule="auto" w:line="288" w:before="0" w:after="0"/>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9</w:t>
      </w:r>
      <w:r>
        <w:rPr>
          <w:rFonts w:ascii="Calibri;sans-serif" w:hAnsi="Calibri;sans-serif"/>
          <w:b w:val="false"/>
          <w:i w:val="false"/>
          <w:caps w:val="false"/>
          <w:smallCaps w:val="false"/>
          <w:strike w:val="false"/>
          <w:dstrike w:val="false"/>
          <w:color w:val="auto"/>
          <w:sz w:val="22"/>
          <w:u w:val="none"/>
          <w:effect w:val="none"/>
        </w:rPr>
        <w:t>5</w:t>
      </w:r>
      <w:r>
        <w:rPr>
          <w:rFonts w:ascii="Calibri;sans-serif" w:hAnsi="Calibri;sans-serif"/>
          <w:b w:val="false"/>
          <w:i w:val="false"/>
          <w:caps w:val="false"/>
          <w:smallCaps w:val="false"/>
          <w:strike w:val="false"/>
          <w:dstrike w:val="false"/>
          <w:color w:val="auto"/>
          <w:sz w:val="22"/>
          <w:u w:val="none"/>
          <w:effect w:val="none"/>
        </w:rPr>
        <w:t>% se reparta entre las competencias específicas 1, 2 y 3.1,  3.2  y 3.3 como se indica en este cuadro</w:t>
      </w:r>
    </w:p>
    <w:p>
      <w:pPr>
        <w:pStyle w:val="Cuerpodetexto"/>
        <w:rPr/>
      </w:pPr>
      <w:r>
        <w:rPr/>
      </w:r>
    </w:p>
    <w:p>
      <w:pPr>
        <w:pStyle w:val="Cuerpodetexto"/>
        <w:bidi w:val="0"/>
        <w:spacing w:lineRule="auto" w:line="288" w:before="0" w:after="0"/>
        <w:jc w:val="both"/>
        <w:rPr>
          <w:rFonts w:ascii="Arial" w:hAnsi="Arial" w:eastAsia="Cambria" w:cs="Cambria"/>
          <w:sz w:val="20"/>
          <w:szCs w:val="20"/>
        </w:rPr>
      </w:pPr>
      <w:r>
        <w:rPr>
          <w:rFonts w:eastAsia="Cambria" w:cs="Cambria" w:ascii="Arial" w:hAnsi="Arial"/>
          <w:caps w:val="false"/>
          <w:smallCaps w:val="false"/>
          <w:strike w:val="false"/>
          <w:dstrike w:val="false"/>
          <w:color w:val="EE0000"/>
          <w:sz w:val="20"/>
          <w:szCs w:val="20"/>
          <w:u w:val="none"/>
          <w:effect w:val="none"/>
        </w:rPr>
        <w:t> </w:t>
      </w:r>
      <w:r>
        <w:rPr>
          <w:rFonts w:eastAsia="Cambria" w:cs="Cambria" w:ascii="Calibri;sans-serif" w:hAnsi="Calibri;sans-serif"/>
          <w:b w:val="false"/>
          <w:i w:val="false"/>
          <w:caps w:val="false"/>
          <w:smallCaps w:val="false"/>
          <w:strike w:val="false"/>
          <w:dstrike w:val="false"/>
          <w:color w:val="auto"/>
          <w:sz w:val="22"/>
          <w:szCs w:val="20"/>
          <w:u w:val="none"/>
          <w:effect w:val="none"/>
        </w:rPr>
        <w:t xml:space="preserve">Las actividades que suponen el </w:t>
      </w:r>
      <w:r>
        <w:rPr>
          <w:rFonts w:eastAsia="Cambria" w:cs="Cambria" w:ascii="Calibri;sans-serif" w:hAnsi="Calibri;sans-serif"/>
          <w:b w:val="false"/>
          <w:i w:val="false"/>
          <w:caps w:val="false"/>
          <w:smallCaps w:val="false"/>
          <w:strike w:val="false"/>
          <w:dstrike w:val="false"/>
          <w:color w:val="auto"/>
          <w:sz w:val="22"/>
          <w:szCs w:val="20"/>
          <w:u w:val="none"/>
          <w:effect w:val="none"/>
        </w:rPr>
        <w:t>5</w:t>
      </w:r>
      <w:r>
        <w:rPr>
          <w:rFonts w:eastAsia="Cambria" w:cs="Cambria" w:ascii="Calibri;sans-serif" w:hAnsi="Calibri;sans-serif"/>
          <w:b w:val="false"/>
          <w:i w:val="false"/>
          <w:caps w:val="false"/>
          <w:smallCaps w:val="false"/>
          <w:strike w:val="false"/>
          <w:dstrike w:val="false"/>
          <w:color w:val="auto"/>
          <w:sz w:val="22"/>
          <w:szCs w:val="20"/>
          <w:u w:val="none"/>
          <w:effect w:val="none"/>
        </w:rPr>
        <w:t xml:space="preserve">% estarán diseñadas para cumplir el reparto entre las competencias 3.3, 4, 5 y 6 como se indica en este cuadro. </w:t>
      </w:r>
      <w:r>
        <w:rPr>
          <w:rFonts w:eastAsia="Cambria" w:cs="Cambria" w:ascii="Calibri;sans-serif" w:hAnsi="Calibri;sans-serif"/>
          <w:b w:val="false"/>
          <w:i w:val="false"/>
          <w:caps w:val="false"/>
          <w:smallCaps w:val="false"/>
          <w:strike w:val="false"/>
          <w:dstrike w:val="false"/>
          <w:color w:val="EE0000"/>
          <w:sz w:val="22"/>
          <w:szCs w:val="20"/>
          <w:u w:val="none"/>
          <w:effect w:val="none"/>
        </w:rPr>
        <w:t>. </w:t>
      </w:r>
    </w:p>
    <w:tbl>
      <w:tblPr>
        <w:tblW w:w="8475" w:type="dxa"/>
        <w:jc w:val="left"/>
        <w:tblInd w:w="24" w:type="dxa"/>
        <w:tblCellMar>
          <w:top w:w="100" w:type="dxa"/>
          <w:left w:w="100" w:type="dxa"/>
          <w:bottom w:w="100" w:type="dxa"/>
          <w:right w:w="100" w:type="dxa"/>
        </w:tblCellMar>
      </w:tblPr>
      <w:tblGrid>
        <w:gridCol w:w="1934"/>
        <w:gridCol w:w="750"/>
        <w:gridCol w:w="2475"/>
        <w:gridCol w:w="3315"/>
      </w:tblGrid>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1.</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36%</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1.3 </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FQ.2</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32%</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FQ.3.</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29%</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3.1., 3.2 y3.3.  27% </w:t>
            </w:r>
          </w:p>
          <w:p>
            <w:pPr>
              <w:pStyle w:val="Contenidodelatabla"/>
              <w:bidi w:val="0"/>
              <w:spacing w:lineRule="auto" w:line="288" w:before="0" w:after="0"/>
              <w:rPr/>
            </w:pPr>
            <w:r>
              <w:rPr>
                <w:rFonts w:ascii="Calibri;sans-serif" w:hAnsi="Calibri;sans-serif"/>
                <w:b w:val="false"/>
                <w:i w:val="false"/>
                <w:caps w:val="false"/>
                <w:smallCaps w:val="false"/>
                <w:strike w:val="false"/>
                <w:dstrike w:val="false"/>
                <w:color w:val="000000"/>
                <w:sz w:val="22"/>
                <w:u w:val="none"/>
                <w:effect w:val="none"/>
              </w:rPr>
              <w:t>3.3                2%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FQ.4.</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4.2 </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5</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FQ.6.</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Normal"/>
        <w:jc w:val="both"/>
        <w:rPr>
          <w:rFonts w:ascii="Arial" w:hAnsi="Arial" w:eastAsia="Cambria" w:cs="Cambria"/>
          <w:sz w:val="20"/>
          <w:szCs w:val="20"/>
        </w:rPr>
      </w:pPr>
      <w:r>
        <w:rPr>
          <w:rFonts w:eastAsia="Cambria" w:cs="Cambria" w:ascii="Arial" w:hAnsi="Arial"/>
          <w:sz w:val="20"/>
          <w:szCs w:val="20"/>
        </w:rPr>
      </w:r>
    </w:p>
    <w:p>
      <w:pPr>
        <w:pStyle w:val="Normal"/>
        <w:jc w:val="both"/>
        <w:rPr/>
      </w:pPr>
      <w:r>
        <w:rPr>
          <w:rFonts w:eastAsia="Cambria" w:cs="Cambria"/>
          <w:sz w:val="22"/>
          <w:szCs w:val="22"/>
        </w:rPr>
        <w:t xml:space="preserve">En cada evaluación se intentara realizar al menos dos pruebas escritas. </w:t>
      </w:r>
    </w:p>
    <w:p>
      <w:pPr>
        <w:pStyle w:val="Normal"/>
        <w:jc w:val="both"/>
        <w:rPr>
          <w:rFonts w:ascii="Calibri" w:hAnsi="Calibri"/>
        </w:rPr>
      </w:pPr>
      <w:r>
        <w:rPr>
          <w:rFonts w:eastAsia="Cambria" w:cs="Cambria"/>
          <w:sz w:val="22"/>
          <w:szCs w:val="22"/>
        </w:rPr>
        <w:t xml:space="preserve">Dado que la calificación de cada evaluación ha de ser un número sin decimales, se procederá a truncar la nota obtenida. Para la media final se tendrán en cuenta todos los decimales. </w:t>
      </w:r>
    </w:p>
    <w:p>
      <w:pPr>
        <w:pStyle w:val="Normal"/>
        <w:jc w:val="both"/>
        <w:rPr>
          <w:rFonts w:ascii="Arial" w:hAnsi="Arial"/>
          <w:sz w:val="20"/>
          <w:szCs w:val="20"/>
        </w:rPr>
      </w:pPr>
      <w:r>
        <w:rPr>
          <w:rFonts w:eastAsia="Cambria" w:cs="Cambria"/>
          <w:sz w:val="22"/>
          <w:szCs w:val="22"/>
        </w:rPr>
        <w:t>En un momento determinado del curso con previo aviso se realizará una prueba escrita de</w:t>
      </w:r>
    </w:p>
    <w:p>
      <w:pPr>
        <w:pStyle w:val="Normal"/>
        <w:jc w:val="both"/>
        <w:rPr>
          <w:rFonts w:ascii="Calibri" w:hAnsi="Calibri"/>
        </w:rPr>
      </w:pPr>
      <w:r>
        <w:rPr>
          <w:rFonts w:eastAsia="Cambria" w:cs="Cambria"/>
          <w:sz w:val="22"/>
          <w:szCs w:val="22"/>
        </w:rPr>
        <w:t>formulación inorgánica para todos los alumnos/as. Será necesario obtener un 80% de aciertos o superior en esa prueba para poder aprobar la asignatura. La calificación de dicha prueba no repercutirá en la calificación de la asignatura.</w:t>
      </w:r>
    </w:p>
    <w:p>
      <w:pPr>
        <w:pStyle w:val="Normal"/>
        <w:jc w:val="both"/>
        <w:rPr>
          <w:rFonts w:ascii="Cambria" w:hAnsi="Cambria" w:eastAsia="Cambria" w:cs="Cambria"/>
          <w:sz w:val="22"/>
          <w:szCs w:val="22"/>
        </w:rPr>
      </w:pPr>
      <w:r>
        <w:rPr>
          <w:rFonts w:eastAsia="Cambria" w:cs="Cambria"/>
          <w:sz w:val="22"/>
          <w:szCs w:val="22"/>
        </w:rPr>
        <w:t xml:space="preserve"> </w:t>
      </w:r>
    </w:p>
    <w:p>
      <w:pPr>
        <w:pStyle w:val="Normal"/>
        <w:jc w:val="both"/>
        <w:rPr>
          <w:rFonts w:ascii="Calibri" w:hAnsi="Calibri"/>
        </w:rPr>
      </w:pPr>
      <w:r>
        <w:rPr>
          <w:rFonts w:eastAsia="Cambria" w:cs="Cambria"/>
          <w:sz w:val="22"/>
          <w:szCs w:val="22"/>
        </w:rPr>
        <w:t>2. Después de cada evaluación, se realizará un examen que englobe  todos los contenidos desarrollados durante esa evaluación. A este examen se tendrán que presentar todos los alumnos/as que cursen la materia.</w:t>
      </w:r>
    </w:p>
    <w:p>
      <w:pPr>
        <w:pStyle w:val="Normal"/>
        <w:jc w:val="both"/>
        <w:rPr>
          <w:rFonts w:ascii="Calibri" w:hAnsi="Calibri"/>
        </w:rPr>
      </w:pPr>
      <w:r>
        <w:rPr>
          <w:rFonts w:eastAsia="Cambria" w:cs="Cambria"/>
          <w:sz w:val="22"/>
          <w:szCs w:val="22"/>
        </w:rPr>
        <w:t>En el caso de alumnos/as que hubieran obtenido una nota inferior a 5 en la materia en esa evaluación, podrán optar a aprobar la evaluación obteniendo una calificación de 5 o superior en ese examen.</w:t>
      </w:r>
    </w:p>
    <w:p>
      <w:pPr>
        <w:pStyle w:val="Normal"/>
        <w:jc w:val="both"/>
        <w:rPr>
          <w:rFonts w:ascii="Arial" w:hAnsi="Arial"/>
          <w:sz w:val="20"/>
          <w:szCs w:val="20"/>
        </w:rPr>
      </w:pPr>
      <w:r>
        <w:rPr>
          <w:rFonts w:eastAsia="Cambria" w:cs="Cambria"/>
          <w:sz w:val="22"/>
          <w:szCs w:val="22"/>
        </w:rPr>
        <w:t>En relación a los alumnos/as que hubieran obtenido una calificación de 5 o superior en la</w:t>
      </w:r>
    </w:p>
    <w:p>
      <w:pPr>
        <w:pStyle w:val="Normal"/>
        <w:jc w:val="both"/>
        <w:rPr>
          <w:rFonts w:ascii="Arial" w:hAnsi="Arial"/>
          <w:sz w:val="20"/>
          <w:szCs w:val="20"/>
        </w:rPr>
      </w:pPr>
      <w:r>
        <w:rPr>
          <w:rFonts w:eastAsia="Cambria" w:cs="Cambria"/>
          <w:sz w:val="22"/>
          <w:szCs w:val="22"/>
        </w:rPr>
        <w:t>materia en esa evaluación, pueden:</w:t>
      </w:r>
    </w:p>
    <w:p>
      <w:pPr>
        <w:pStyle w:val="Normal"/>
        <w:jc w:val="both"/>
        <w:rPr>
          <w:rFonts w:ascii="Arial" w:hAnsi="Arial"/>
          <w:sz w:val="20"/>
          <w:szCs w:val="20"/>
        </w:rPr>
      </w:pPr>
      <w:r>
        <w:rPr>
          <w:rFonts w:eastAsia="Cambria" w:cs="Cambria"/>
          <w:sz w:val="22"/>
          <w:szCs w:val="22"/>
        </w:rPr>
        <w:t xml:space="preserve"> </w:t>
      </w:r>
      <w:r>
        <w:rPr>
          <w:rFonts w:eastAsia="Cambria" w:cs="Cambria"/>
          <w:sz w:val="22"/>
          <w:szCs w:val="22"/>
        </w:rPr>
        <w:t>Mejorar su calificación si obtienen una calificación superior a la original en dicha prueba, quedando la nueva nota para esa evaluación.</w:t>
      </w:r>
    </w:p>
    <w:p>
      <w:pPr>
        <w:pStyle w:val="Normal"/>
        <w:jc w:val="both"/>
        <w:rPr>
          <w:rFonts w:ascii="Arial" w:hAnsi="Arial"/>
          <w:sz w:val="20"/>
          <w:szCs w:val="20"/>
        </w:rPr>
      </w:pPr>
      <w:r>
        <w:rPr>
          <w:rFonts w:eastAsia="Cambria" w:cs="Cambria"/>
          <w:sz w:val="22"/>
          <w:szCs w:val="22"/>
        </w:rPr>
        <w:t xml:space="preserve"> </w:t>
      </w:r>
      <w:r>
        <w:rPr>
          <w:rFonts w:eastAsia="Cambria" w:cs="Cambria"/>
          <w:sz w:val="22"/>
          <w:szCs w:val="22"/>
        </w:rPr>
        <w:t>Mantener su calificación si obtienen una calificación igual o hasta 2 puntos inferior a la calificación original.</w:t>
      </w:r>
    </w:p>
    <w:p>
      <w:pPr>
        <w:pStyle w:val="Normal"/>
        <w:jc w:val="both"/>
        <w:rPr>
          <w:rFonts w:ascii="Arial" w:hAnsi="Arial"/>
          <w:sz w:val="20"/>
          <w:szCs w:val="20"/>
        </w:rPr>
      </w:pPr>
      <w:r>
        <w:rPr>
          <w:rFonts w:eastAsia="Cambria" w:cs="Cambria"/>
          <w:sz w:val="22"/>
          <w:szCs w:val="22"/>
        </w:rPr>
        <w:t xml:space="preserve"> </w:t>
      </w:r>
      <w:r>
        <w:rPr>
          <w:rFonts w:eastAsia="Cambria" w:cs="Cambria"/>
          <w:sz w:val="22"/>
          <w:szCs w:val="22"/>
        </w:rPr>
        <w:t>Aminorar su calificación si obtienen una calificación al menos 2 puntos inferior a la original. En este caso se hará la media de las dos calificaciones a la hora de asignar una nota a esa evaluación. Es preciso destacar que en el caso de alumnos/as que hubieran aprobado originalmente la evaluación, la nota media después de incorporar la calificación de esta prueba no podrá ser inferior a 5.</w:t>
      </w:r>
    </w:p>
    <w:p>
      <w:pPr>
        <w:pStyle w:val="Normal"/>
        <w:jc w:val="both"/>
        <w:rPr>
          <w:rFonts w:ascii="Arial" w:hAnsi="Arial"/>
          <w:sz w:val="20"/>
          <w:szCs w:val="20"/>
        </w:rPr>
      </w:pPr>
      <w:r>
        <w:rPr>
          <w:rFonts w:eastAsia="Cambria" w:cs="Cambria"/>
          <w:sz w:val="22"/>
          <w:szCs w:val="22"/>
        </w:rPr>
        <w:t>3. La nota final ordinaria se obtendrá de hacer la media aritmética ponderada según el numero de sesiones de cada evaluación,  de las tres evaluaciones. Si un alumno/a tiene dos evaluaciones aprobadas y una suspensa, pero la media de las calificaciones de las tres evaluaciones es superior a 5, se considerará que el alumno/a tiene la asignatura aprobada. En ningún caso podrá aprobar la asignatura un alumno/a que tuviera dos evaluaciones suspensas.</w:t>
      </w:r>
    </w:p>
    <w:p>
      <w:pPr>
        <w:pStyle w:val="Normal"/>
        <w:jc w:val="both"/>
        <w:rPr>
          <w:rFonts w:ascii="Arial" w:hAnsi="Arial"/>
        </w:rPr>
      </w:pPr>
      <w:r>
        <w:rPr>
          <w:rFonts w:eastAsia="Cambria" w:cs="Cambria"/>
          <w:sz w:val="22"/>
          <w:szCs w:val="22"/>
        </w:rPr>
        <w:t>4.</w:t>
      </w:r>
      <w:bookmarkStart w:id="6" w:name="__DdeLink__10511_3229661685"/>
      <w:r>
        <w:rPr>
          <w:rFonts w:eastAsia="Cambria" w:cs="Cambria"/>
          <w:sz w:val="22"/>
          <w:szCs w:val="22"/>
        </w:rPr>
        <w:t xml:space="preserve"> </w:t>
      </w:r>
      <w:r>
        <w:rPr>
          <w:rFonts w:eastAsia="Cambria" w:cs="Cambria"/>
          <w:b/>
          <w:bCs/>
          <w:sz w:val="22"/>
          <w:szCs w:val="22"/>
        </w:rPr>
        <w:t xml:space="preserve">Prueba extraordinaria: </w:t>
      </w:r>
      <w:r>
        <w:rPr>
          <w:rFonts w:eastAsia="Cambria" w:cs="Cambria"/>
          <w:sz w:val="22"/>
          <w:szCs w:val="22"/>
        </w:rPr>
        <w:t xml:space="preserve">Aquellos alumnos que no hayan alcanzado la nota de 5 en la convocatoria ordinaria realizarán un examen global de recuperación en la convocatoria extraordinaria de todo el curso basado en los saberes y criterios de evaluación  de la asignatura. </w:t>
      </w:r>
    </w:p>
    <w:p>
      <w:pPr>
        <w:pStyle w:val="Normal"/>
        <w:jc w:val="both"/>
        <w:rPr>
          <w:rFonts w:ascii="Cambria" w:hAnsi="Cambria" w:eastAsia="Cambria" w:cs="Cambria"/>
          <w:sz w:val="22"/>
          <w:szCs w:val="22"/>
        </w:rPr>
      </w:pPr>
      <w:r>
        <w:rPr>
          <w:rFonts w:eastAsia="Cambria" w:cs="Cambria"/>
          <w:color w:val="auto"/>
          <w:sz w:val="22"/>
          <w:szCs w:val="22"/>
        </w:rPr>
        <w:t>Esta prueba extraordinaria se considerará superada cuando se haya obtenido una calificación igual o superior a cinco. La nota final de la materia sera la nota de esta prueba</w:t>
      </w:r>
      <w:bookmarkEnd w:id="6"/>
    </w:p>
    <w:p>
      <w:pPr>
        <w:pStyle w:val="Normal"/>
        <w:jc w:val="both"/>
        <w:rPr>
          <w:rFonts w:ascii="Cambria" w:hAnsi="Cambria" w:eastAsia="Cambria" w:cs="Cambria"/>
          <w:b/>
          <w:b/>
          <w:u w:val="single"/>
        </w:rPr>
      </w:pPr>
      <w:r>
        <w:rPr>
          <w:rFonts w:eastAsia="Cambria" w:cs="Cambria"/>
          <w:b/>
          <w:sz w:val="22"/>
          <w:szCs w:val="22"/>
          <w:u w:val="single"/>
        </w:rPr>
        <w:t>5. EVALUACIÓN INICIAL</w:t>
      </w:r>
    </w:p>
    <w:p>
      <w:pPr>
        <w:pStyle w:val="Estiloparrafos"/>
        <w:spacing w:before="0" w:after="120"/>
        <w:rPr>
          <w:rFonts w:ascii="Arial" w:hAnsi="Arial"/>
          <w:sz w:val="20"/>
          <w:szCs w:val="20"/>
        </w:rPr>
      </w:pPr>
      <w:r>
        <w:rPr>
          <w:rFonts w:ascii="Calibri" w:hAnsi="Calibri"/>
          <w:color w:val="232020"/>
          <w:sz w:val="22"/>
          <w:szCs w:val="22"/>
        </w:rPr>
        <w:t xml:space="preserve">Al comienzo de cada curso, en el marco de la evaluación continua y formativa, y para detectar el grado de conocimiento del que parten los estudiantes en cada materia y realizar la correspondiente planificación, se realizará la evaluación inicial de los alumnos. Para ello se tendrá en cuenta, siempre que sea posible, la información aportada por el profesorado del curso anterior. Además, todos los alumnos realizarán una prueba escrita, diseñada para ser cumplimentada en una sesión lectiva, que incluya los contenidos más importantes del curso anterior que van a tener continuidad en el presente curso. </w:t>
      </w:r>
    </w:p>
    <w:p>
      <w:pPr>
        <w:pStyle w:val="Estiloparrafos"/>
        <w:spacing w:before="0" w:after="120"/>
        <w:rPr/>
      </w:pPr>
      <w:r>
        <w:rPr>
          <w:rFonts w:eastAsia="Cambria" w:cs="Cambria" w:ascii="Calibri" w:hAnsi="Calibri"/>
          <w:color w:val="232020"/>
          <w:sz w:val="22"/>
          <w:szCs w:val="22"/>
        </w:rPr>
        <w:t xml:space="preserve">Esta prueba nunca se computará a efectos de calificación durante el curso.  El objetivo de la misma consiste en detectar posibles concepciones alternativas o la carencia de conocimientos básicos cuya ampliación y/o desarrollo se va a llevar a cabo en el presente curso escolar. En el caso de que se detecten dichos errores y / o carencias se repasarán dichos contenidos al inicio de cada unidad didáctica antes de profundizar en los mismos. </w:t>
      </w:r>
    </w:p>
    <w:p>
      <w:pPr>
        <w:pStyle w:val="Normal"/>
        <w:spacing w:before="0" w:after="120"/>
        <w:jc w:val="both"/>
        <w:rPr/>
      </w:pPr>
      <w:r>
        <w:rPr>
          <w:rFonts w:eastAsia="Cambria" w:cs="Cambria"/>
          <w:b/>
          <w:color w:val="232020"/>
          <w:sz w:val="22"/>
          <w:szCs w:val="22"/>
          <w:u w:val="single"/>
        </w:rPr>
        <w:t>6. EVALUACIÓN EXTRAORDINARIA</w:t>
      </w:r>
    </w:p>
    <w:p>
      <w:pPr>
        <w:pStyle w:val="Normal"/>
        <w:jc w:val="both"/>
        <w:rPr/>
      </w:pPr>
      <w:r>
        <w:rPr>
          <w:rFonts w:eastAsia="Cambria" w:cs="Cambria"/>
          <w:sz w:val="22"/>
          <w:szCs w:val="22"/>
        </w:rPr>
        <w:t xml:space="preserve">Aquellos alumnos que no hayan alcanzado la nota de 5 en la convocatoria ordinaria realizarán un examen global de recuperación en la convocatoria extraordinaria de todo el curso basado en los saberes y criterios de evaluación  de la asignatura. </w:t>
      </w:r>
    </w:p>
    <w:p>
      <w:pPr>
        <w:pStyle w:val="Normal"/>
        <w:spacing w:before="0" w:after="120"/>
        <w:jc w:val="both"/>
        <w:rPr>
          <w:b w:val="false"/>
          <w:b w:val="false"/>
          <w:bCs w:val="false"/>
          <w:u w:val="none"/>
        </w:rPr>
      </w:pPr>
      <w:r>
        <w:rPr>
          <w:rFonts w:eastAsia="Cambria" w:cs="Cambria"/>
          <w:b w:val="false"/>
          <w:bCs w:val="false"/>
          <w:color w:val="auto"/>
          <w:sz w:val="22"/>
          <w:szCs w:val="22"/>
          <w:u w:val="none"/>
        </w:rPr>
        <w:t>Esta prueba extraordinaria se considerará superada cuando se haya obtenido una calificación igual o superior a cinco. La nota final de la materia sera la nota de esta prueba</w:t>
      </w:r>
    </w:p>
    <w:p>
      <w:pPr>
        <w:pStyle w:val="Normal"/>
        <w:jc w:val="both"/>
        <w:rPr/>
      </w:pPr>
      <w:r>
        <w:rPr>
          <w:rFonts w:eastAsia="Cambria" w:cs="Cambria"/>
          <w:b/>
          <w:sz w:val="22"/>
          <w:szCs w:val="22"/>
          <w:u w:val="single"/>
        </w:rPr>
        <w:t>7. ACTUACIONES GENERALES DE ATENCIÓN A LAS DIFERENCIAS INDIVIDUALES</w:t>
      </w:r>
    </w:p>
    <w:p>
      <w:pPr>
        <w:pStyle w:val="Normal"/>
        <w:jc w:val="both"/>
        <w:rPr>
          <w:rFonts w:ascii="Arial" w:hAnsi="Arial"/>
          <w:sz w:val="20"/>
          <w:szCs w:val="20"/>
        </w:rPr>
      </w:pPr>
      <w:r>
        <w:rPr>
          <w:rFonts w:eastAsia="Cambria" w:cs="Cambria"/>
          <w:sz w:val="22"/>
          <w:szCs w:val="22"/>
        </w:rPr>
        <w:t xml:space="preserve">No tenemos ningún alumnos que precise adaptación curricular </w:t>
      </w:r>
    </w:p>
    <w:p>
      <w:pPr>
        <w:pStyle w:val="Normal"/>
        <w:jc w:val="both"/>
        <w:rPr/>
      </w:pPr>
      <w:r>
        <w:rPr>
          <w:rFonts w:eastAsia="Cambria" w:cs="Cambria"/>
          <w:b/>
          <w:sz w:val="22"/>
          <w:szCs w:val="22"/>
          <w:u w:val="single"/>
        </w:rPr>
        <w:t xml:space="preserve">8. PLAN DE RECUPERACIÓN DE MATERIAS PENDIENTES </w:t>
      </w:r>
    </w:p>
    <w:p>
      <w:pPr>
        <w:pStyle w:val="Normal"/>
        <w:jc w:val="both"/>
        <w:rPr>
          <w:rFonts w:ascii="Arial" w:hAnsi="Arial"/>
          <w:sz w:val="20"/>
          <w:szCs w:val="20"/>
        </w:rPr>
      </w:pPr>
      <w:r>
        <w:rPr>
          <w:rFonts w:eastAsia="Cambria" w:cs="Cambria"/>
          <w:sz w:val="22"/>
          <w:szCs w:val="22"/>
        </w:rPr>
        <w:t xml:space="preserve">.En los primeros días o últimos del curso anterior  se hace una reunión para evaluar las causas de la no superación de la materia por parte del alumno con los profesores del curso anterior. </w:t>
      </w:r>
    </w:p>
    <w:p>
      <w:pPr>
        <w:pStyle w:val="Normal"/>
        <w:jc w:val="both"/>
        <w:rPr>
          <w:rFonts w:ascii="Arial" w:hAnsi="Arial"/>
          <w:sz w:val="20"/>
          <w:szCs w:val="20"/>
        </w:rPr>
      </w:pPr>
      <w:r>
        <w:rPr>
          <w:rFonts w:eastAsia="Cambria" w:cs="Cambria"/>
          <w:sz w:val="22"/>
          <w:szCs w:val="22"/>
        </w:rPr>
        <w:t xml:space="preserve">Con los alumnos se tiene una reunión a principio de curso, para comunicarles: </w:t>
      </w:r>
    </w:p>
    <w:p>
      <w:pPr>
        <w:pStyle w:val="Normal"/>
        <w:numPr>
          <w:ilvl w:val="0"/>
          <w:numId w:val="3"/>
        </w:numPr>
        <w:jc w:val="both"/>
        <w:rPr>
          <w:rFonts w:ascii="Arial" w:hAnsi="Arial"/>
          <w:sz w:val="20"/>
          <w:szCs w:val="20"/>
        </w:rPr>
      </w:pPr>
      <w:r>
        <w:rPr>
          <w:rFonts w:eastAsia="Cambria" w:cs="Cambria"/>
          <w:sz w:val="22"/>
          <w:szCs w:val="22"/>
        </w:rPr>
        <w:t xml:space="preserve">Las pautas para estudiar la materia </w:t>
      </w:r>
    </w:p>
    <w:p>
      <w:pPr>
        <w:pStyle w:val="Normal"/>
        <w:numPr>
          <w:ilvl w:val="0"/>
          <w:numId w:val="3"/>
        </w:numPr>
        <w:jc w:val="both"/>
        <w:rPr>
          <w:rFonts w:ascii="Arial" w:hAnsi="Arial"/>
          <w:sz w:val="20"/>
          <w:szCs w:val="20"/>
        </w:rPr>
      </w:pPr>
      <w:r>
        <w:rPr>
          <w:rFonts w:eastAsia="Cambria" w:cs="Cambria"/>
          <w:sz w:val="22"/>
          <w:szCs w:val="22"/>
        </w:rPr>
        <w:t>Horario del profesor para poder atenderles</w:t>
      </w:r>
    </w:p>
    <w:p>
      <w:pPr>
        <w:pStyle w:val="Normal"/>
        <w:numPr>
          <w:ilvl w:val="0"/>
          <w:numId w:val="3"/>
        </w:numPr>
        <w:jc w:val="both"/>
        <w:rPr>
          <w:rFonts w:ascii="Arial" w:hAnsi="Arial"/>
          <w:sz w:val="20"/>
          <w:szCs w:val="20"/>
        </w:rPr>
      </w:pPr>
      <w:r>
        <w:rPr>
          <w:rFonts w:eastAsia="Cambria" w:cs="Cambria"/>
          <w:sz w:val="22"/>
          <w:szCs w:val="22"/>
        </w:rPr>
        <w:t>División de la materia de primero en dos, Química por un lado y Física por otro.</w:t>
      </w:r>
    </w:p>
    <w:p>
      <w:pPr>
        <w:pStyle w:val="Normal"/>
        <w:jc w:val="both"/>
        <w:rPr>
          <w:rFonts w:ascii="Arial" w:hAnsi="Arial"/>
          <w:sz w:val="20"/>
          <w:szCs w:val="20"/>
        </w:rPr>
      </w:pPr>
      <w:r>
        <w:rPr>
          <w:rFonts w:eastAsia="Cambria" w:cs="Cambria"/>
          <w:sz w:val="22"/>
          <w:szCs w:val="22"/>
        </w:rPr>
        <w:t xml:space="preserve">Realización de dos exámenes, uno de Diciembre y otro a principios de marzo. Si estos exámenes no dan la media para superar la materia ( tendrán que tener mas de un 3,5 para poder mediar)   tendrán uno global en Abril, que se superara con una nota de 5 o más. </w:t>
      </w:r>
    </w:p>
    <w:p>
      <w:pPr>
        <w:pStyle w:val="Normal"/>
        <w:jc w:val="both"/>
        <w:rPr/>
      </w:pPr>
      <w:r>
        <w:rPr>
          <w:rFonts w:eastAsia="Cambria" w:cs="Cambria"/>
          <w:b/>
          <w:sz w:val="22"/>
          <w:szCs w:val="22"/>
          <w:u w:val="single"/>
        </w:rPr>
        <w:t>9. ESTRATEGIAS DIDÁCTICAS Y METODOLÓGICAS</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Las normas y la convivencia en el aula.</w:t>
      </w:r>
    </w:p>
    <w:p>
      <w:pPr>
        <w:pStyle w:val="Normal"/>
        <w:jc w:val="both"/>
        <w:rPr>
          <w:rFonts w:cs="Arial"/>
          <w:szCs w:val="20"/>
        </w:rPr>
      </w:pPr>
      <w:r>
        <w:rPr>
          <w:rFonts w:cs="Arial"/>
          <w:sz w:val="22"/>
          <w:szCs w:val="22"/>
        </w:rPr>
        <w:t>Para que el trabajo en el aula favorezca el aprendizaje indispensable un ambiente que lo propicie y facilite, se consensuarán en los primeros días unas normas de convivencia. La no imposición y el consenso tienen como objetivo que cada alumno haga suyas esas normas y se sienta partícipe de la vida de la clase y co-responsable del buen funcionamiento de la misma. Se velará durante todo el curso por el mantenimiento de un clima de armonía, respeto, cooperación y convivencia entre todos los miembros del grupo. Un lugar donde los alumnos se encuentren libres y puedan expresarse es un vehículo imprescindible para un buen aprendizaje.</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El aula como comunidad de aprendizaje.</w:t>
      </w:r>
    </w:p>
    <w:p>
      <w:pPr>
        <w:pStyle w:val="Normal"/>
        <w:jc w:val="both"/>
        <w:rPr>
          <w:rFonts w:cs="Arial"/>
          <w:szCs w:val="20"/>
        </w:rPr>
      </w:pPr>
      <w:r>
        <w:rPr>
          <w:rFonts w:cs="Arial"/>
          <w:sz w:val="22"/>
          <w:szCs w:val="22"/>
        </w:rPr>
        <w:t xml:space="preserve">El grupo se enriquece con las aportaciones individuales de cada uno de sus miembros, por lo que todos ellos tendrán cabida en el aula, favoreciendo la interiorización de los aprendizajes mediante su conexión con la experiencia vital cotidiana. Se propiciarán entre los alumnos actitudes como la ayuda, el apoyo, la escucha o la inclusión. Todos aprendemos de todos. </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Protagonismo del alumno en la actividad.</w:t>
      </w:r>
    </w:p>
    <w:p>
      <w:pPr>
        <w:pStyle w:val="Normal"/>
        <w:jc w:val="both"/>
        <w:rPr>
          <w:rFonts w:cs="Arial"/>
          <w:szCs w:val="20"/>
        </w:rPr>
      </w:pPr>
      <w:r>
        <w:rPr>
          <w:rFonts w:cs="Arial"/>
          <w:sz w:val="22"/>
          <w:szCs w:val="22"/>
        </w:rPr>
        <w:t>Se favorecerá la integración activa de cada alumno, su motivación y autoestima, haciendo de la clase un lugar de encuentro en el que se sienta cómodo, relajado e importante, en el que pueda manifestar sus sugerencias e inquietudes en un marco de respeto, colaboración y cordialidad, y en el que se sienta con ganas de aprender. Se consideran fundamentales tanto su trabajo de estudio diario e individual fuera del aula, como su participación en el desarrollo de las sesiones.</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Reconocimiento y potenciación de las habilidades del alumno.</w:t>
      </w:r>
    </w:p>
    <w:p>
      <w:pPr>
        <w:pStyle w:val="Normal"/>
        <w:jc w:val="both"/>
        <w:rPr>
          <w:rFonts w:cs="Arial"/>
          <w:szCs w:val="20"/>
        </w:rPr>
      </w:pPr>
      <w:r>
        <w:rPr>
          <w:rFonts w:cs="Arial"/>
          <w:sz w:val="22"/>
          <w:szCs w:val="22"/>
        </w:rPr>
        <w:t>Se hará más énfasis en las capacidades y fortalezas de los alumnos que en sus dificultades, definiendo así las metas en positivo, generando recursos para alcanzarlas, y ganando en seguridad y motivación de logro de las expectativas. Los obstáculos y los conflictos se plantean como oportunidades de crecimiento.</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Partir de los conocimientos previos de los alumnos.</w:t>
      </w:r>
    </w:p>
    <w:p>
      <w:pPr>
        <w:pStyle w:val="Normal"/>
        <w:jc w:val="both"/>
        <w:rPr>
          <w:rFonts w:cs="Arial"/>
          <w:szCs w:val="20"/>
        </w:rPr>
      </w:pPr>
      <w:r>
        <w:rPr>
          <w:rFonts w:cs="Arial"/>
          <w:sz w:val="22"/>
          <w:szCs w:val="22"/>
        </w:rPr>
        <w:t>Al comienzo de cada unidad de trabajo se realizarán cuestiones orales y pruebas de “puesta a punto”, que estarán encaminadas, por un lado, a detectar los conocimientos previos que el alumno posee y, por otro, a activar esos conocimientos. Estas actividades permitirán además adaptar el trabajo sobre las unidades didácticas.</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Contextualización de los aprendizajes.</w:t>
      </w:r>
    </w:p>
    <w:p>
      <w:pPr>
        <w:pStyle w:val="Normal"/>
        <w:jc w:val="both"/>
        <w:rPr>
          <w:rFonts w:cs="Arial"/>
          <w:szCs w:val="20"/>
        </w:rPr>
      </w:pPr>
      <w:r>
        <w:rPr>
          <w:rFonts w:cs="Arial"/>
          <w:sz w:val="22"/>
          <w:szCs w:val="22"/>
        </w:rPr>
        <w:t>Al enmarcarse la actividad dentro de un contexto, el alumno entenderá que su realización es necesaria como vía para encontrar respuestas a preguntas o problemas previamente planteados. Se facilitará la capacidad de transferir los aprendizajes a situaciones cercanas a la realidad y, por lo tanto, complejas. Se busca de esta manera una progresiva adquisición de competencias para la vida.</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Interdisciplinariedad.</w:t>
      </w:r>
    </w:p>
    <w:p>
      <w:pPr>
        <w:pStyle w:val="Normal"/>
        <w:jc w:val="both"/>
        <w:rPr>
          <w:rFonts w:cs="Arial"/>
          <w:spacing w:val="-3"/>
        </w:rPr>
      </w:pPr>
      <w:r>
        <w:rPr>
          <w:rFonts w:cs="Arial"/>
          <w:spacing w:val="-3"/>
          <w:sz w:val="22"/>
          <w:szCs w:val="22"/>
        </w:rPr>
        <w:t>Es necesario mostrar los contenidos relacionados, tanto entre los diversos bloques componentes de cada una de las materias, como entre ellas. Es necesario aprender a intervenir en situaciones de la realidad complejas, donde se da una interrelación de diversos fenómenos de forma simultánea y nunca parcelada.</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Ritmos de aprendizaje.</w:t>
      </w:r>
    </w:p>
    <w:p>
      <w:pPr>
        <w:pStyle w:val="Normal"/>
        <w:jc w:val="both"/>
        <w:rPr>
          <w:rFonts w:cs="Arial"/>
          <w:szCs w:val="20"/>
        </w:rPr>
      </w:pPr>
      <w:r>
        <w:rPr>
          <w:rFonts w:cs="Arial"/>
          <w:sz w:val="22"/>
          <w:szCs w:val="22"/>
        </w:rPr>
        <w:t xml:space="preserve">El proceso educativo es en sí mismo un proceso lento, que hay que mimar y cuidar. No existen las mejoras inmediatas. Son necesarias acciones continuadas y sostenidas en el tiempo. La </w:t>
      </w:r>
      <w:r>
        <w:rPr>
          <w:rFonts w:cs="Arial"/>
          <w:b/>
          <w:sz w:val="22"/>
          <w:szCs w:val="22"/>
        </w:rPr>
        <w:t>atención a la diversidad</w:t>
      </w:r>
      <w:r>
        <w:rPr>
          <w:rFonts w:cs="Arial"/>
          <w:sz w:val="22"/>
          <w:szCs w:val="22"/>
        </w:rPr>
        <w:t xml:space="preserve">, a la que dedico otro apartado, se asienta sobre estos principios. Pero el ritmo de la clase nunca deben marcarlos los alumnos que no trabajan, pues estos no adquieren competencias, ni alcanzan contenidos y no logran los objetivos principalmente por su falta de trabajo. Intentaremos motivarles y reengancharlos. Debido a esto el ritmo de la clase la marcaran los alumnos que trabajen en el día a día.  </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Secuenciación progresiva y cíclica de los contenidos.</w:t>
      </w:r>
    </w:p>
    <w:p>
      <w:pPr>
        <w:pStyle w:val="Normal"/>
        <w:jc w:val="both"/>
        <w:rPr>
          <w:rFonts w:cs="Arial"/>
          <w:szCs w:val="20"/>
        </w:rPr>
      </w:pPr>
      <w:r>
        <w:rPr>
          <w:rFonts w:cs="Arial"/>
          <w:sz w:val="22"/>
          <w:szCs w:val="22"/>
        </w:rPr>
        <w:t>En relación al epígrafe anterior, las actividades irán organizadas y secuenciadas en función de los objetivos propuestos, del tema tratado, y de las dificultades y progresos observados en el alumnado. Se retomarán periódicamente ciertos contenidos considerados clave para facilitar su adquisición por parte de todos.</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El papel del profesor.</w:t>
      </w:r>
    </w:p>
    <w:p>
      <w:pPr>
        <w:pStyle w:val="Normal"/>
        <w:jc w:val="both"/>
        <w:rPr>
          <w:rFonts w:cs="Arial"/>
          <w:szCs w:val="20"/>
        </w:rPr>
      </w:pPr>
      <w:r>
        <w:rPr>
          <w:rFonts w:cs="Arial"/>
          <w:sz w:val="22"/>
          <w:szCs w:val="22"/>
        </w:rPr>
        <w:t>Es organizador y animador de las diversas situaciones de aprendizaje, facilitando la adquisición significativa de conocimientos y competencias, y ayudando a crear una atmósfera adecuada de trabajo. Busca la implicación de los alumnos y los guía individualmente y como grupo en su proceso educativo. Genera confianza, potencia el diálogo y la manifestación libre y respetuosa de opiniones, favorece la integración y participación de todos los alumnos, atiende los diversos ritmos y estilos de aprendizaje, estimula, asesora y orienta. Propicia y mantiene el orden, y asegura el cumplimiento de las normas de convivencia del centro y del aula.</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El papel de las familias.</w:t>
      </w:r>
    </w:p>
    <w:p>
      <w:pPr>
        <w:pStyle w:val="Normal"/>
        <w:jc w:val="both"/>
        <w:rPr>
          <w:rFonts w:cs="Arial"/>
          <w:szCs w:val="20"/>
        </w:rPr>
      </w:pPr>
      <w:r>
        <w:rPr>
          <w:rFonts w:cs="Arial"/>
          <w:sz w:val="22"/>
          <w:szCs w:val="22"/>
        </w:rPr>
        <w:t>Familia y escuela, aunque de forma preeminente la primera, son los agentes protagonistas de la educación de los alumnos, de ahí la necesidad de trabajar conjuntamente y en la misma dirección. Se mantendrá por ello una comunicación fluida con las familias y se intentara la participación de los padres en los grupos interactivos mediante un banco de voluntarios organizado por el AMPA</w:t>
      </w:r>
      <w:r>
        <w:rPr>
          <w:rStyle w:val="Ancladenotaalpie"/>
          <w:rFonts w:cs="Arial"/>
          <w:sz w:val="22"/>
          <w:szCs w:val="22"/>
        </w:rPr>
        <w:footnoteReference w:id="2"/>
      </w:r>
      <w:r>
        <w:rPr>
          <w:rFonts w:cs="Arial"/>
          <w:sz w:val="22"/>
          <w:szCs w:val="22"/>
        </w:rPr>
        <w:t xml:space="preserve">. </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Las nuevas tecnologías.</w:t>
      </w:r>
    </w:p>
    <w:p>
      <w:pPr>
        <w:pStyle w:val="Normal"/>
        <w:jc w:val="both"/>
        <w:rPr>
          <w:rFonts w:cs="Arial"/>
          <w:szCs w:val="20"/>
        </w:rPr>
      </w:pPr>
      <w:r>
        <w:rPr>
          <w:rFonts w:cs="Arial"/>
          <w:sz w:val="22"/>
          <w:szCs w:val="22"/>
        </w:rPr>
        <w:t xml:space="preserve">Es un medio motivador pues estamos ante una generación eminentemente visual y tecnóloga. La utilización de pequeños videos y/o applets, presentaciones, redes sociales, whasapp, plataforma educativa classroom, etc, nos ayudara a hacer el proceso de aprendizaje más ameno y motivador. </w:t>
      </w:r>
    </w:p>
    <w:p>
      <w:pPr>
        <w:pStyle w:val="Ttulo2"/>
        <w:keepNext w:val="false"/>
        <w:keepLines w:val="false"/>
        <w:numPr>
          <w:ilvl w:val="0"/>
          <w:numId w:val="0"/>
        </w:numPr>
        <w:spacing w:lineRule="auto" w:line="360" w:before="0" w:after="0"/>
        <w:ind w:left="432" w:hanging="432"/>
        <w:contextualSpacing/>
        <w:mirrorIndents/>
        <w:jc w:val="both"/>
        <w:rPr>
          <w:rFonts w:ascii="Arial" w:hAnsi="Arial"/>
          <w:sz w:val="20"/>
          <w:szCs w:val="20"/>
        </w:rPr>
      </w:pPr>
      <w:bookmarkStart w:id="7" w:name="_Toc76513200"/>
      <w:r>
        <w:rPr>
          <w:sz w:val="22"/>
          <w:szCs w:val="22"/>
        </w:rPr>
        <w:t>Diversidad de las formas de clase.</w:t>
      </w:r>
      <w:bookmarkEnd w:id="7"/>
    </w:p>
    <w:p>
      <w:pPr>
        <w:pStyle w:val="Normal"/>
        <w:jc w:val="both"/>
        <w:rPr>
          <w:rFonts w:cs="Arial"/>
          <w:szCs w:val="20"/>
        </w:rPr>
      </w:pPr>
      <w:r>
        <w:rPr>
          <w:rFonts w:cs="Arial"/>
          <w:sz w:val="22"/>
          <w:szCs w:val="22"/>
        </w:rPr>
        <w:t>Las actividades programadas, serán variadas.</w:t>
      </w:r>
    </w:p>
    <w:p>
      <w:pPr>
        <w:pStyle w:val="Ttulo3"/>
        <w:keepNext w:val="false"/>
        <w:keepLines w:val="false"/>
        <w:numPr>
          <w:ilvl w:val="0"/>
          <w:numId w:val="0"/>
        </w:numPr>
        <w:spacing w:lineRule="auto" w:line="360" w:before="0" w:after="0"/>
        <w:ind w:left="0" w:hanging="0"/>
        <w:contextualSpacing/>
        <w:mirrorIndents/>
        <w:jc w:val="both"/>
        <w:rPr>
          <w:rFonts w:ascii="Arial" w:hAnsi="Arial"/>
          <w:sz w:val="20"/>
          <w:szCs w:val="20"/>
        </w:rPr>
      </w:pPr>
      <w:r>
        <w:rPr>
          <w:sz w:val="22"/>
          <w:szCs w:val="22"/>
        </w:rPr>
        <w:t>Clase magistra</w:t>
      </w:r>
      <w:r>
        <w:rPr>
          <w:b w:val="false"/>
          <w:sz w:val="22"/>
          <w:szCs w:val="22"/>
        </w:rPr>
        <w:t>l</w:t>
      </w:r>
      <w:r>
        <w:rPr>
          <w:sz w:val="22"/>
          <w:szCs w:val="22"/>
        </w:rPr>
        <w:t xml:space="preserve">, </w:t>
      </w:r>
    </w:p>
    <w:p>
      <w:pPr>
        <w:pStyle w:val="Normal"/>
        <w:jc w:val="both"/>
        <w:rPr>
          <w:rFonts w:cs="Arial"/>
          <w:szCs w:val="20"/>
        </w:rPr>
      </w:pPr>
      <w:r>
        <w:rPr>
          <w:rFonts w:cs="Arial"/>
          <w:sz w:val="22"/>
          <w:szCs w:val="22"/>
        </w:rPr>
        <w:t xml:space="preserve">Teniendo en cuanta que esta comunicación debe ser lo más interactiva posible, y que siempre que se puede se seguirá la secuenciación, Motivar-Repasar-Desarrollar-Asentar las posibilidades de desarrollo de la materia son: </w:t>
      </w:r>
    </w:p>
    <w:p>
      <w:pPr>
        <w:pStyle w:val="ListParagraph"/>
        <w:numPr>
          <w:ilvl w:val="0"/>
          <w:numId w:val="4"/>
        </w:numPr>
        <w:ind w:left="284" w:hanging="284"/>
        <w:jc w:val="both"/>
        <w:rPr>
          <w:rFonts w:cs="Arial"/>
          <w:szCs w:val="20"/>
        </w:rPr>
      </w:pPr>
      <w:r>
        <w:rPr>
          <w:rFonts w:cs="Arial" w:ascii="Calibri" w:hAnsi="Calibri"/>
          <w:sz w:val="22"/>
          <w:szCs w:val="22"/>
        </w:rPr>
        <w:t>Introducción con algún soporte visual.</w:t>
      </w:r>
    </w:p>
    <w:p>
      <w:pPr>
        <w:pStyle w:val="ListParagraph"/>
        <w:numPr>
          <w:ilvl w:val="0"/>
          <w:numId w:val="4"/>
        </w:numPr>
        <w:ind w:left="284" w:hanging="284"/>
        <w:jc w:val="both"/>
        <w:rPr>
          <w:rFonts w:cs="Arial"/>
          <w:szCs w:val="20"/>
        </w:rPr>
      </w:pPr>
      <w:r>
        <w:rPr>
          <w:rFonts w:cs="Arial" w:ascii="Calibri" w:hAnsi="Calibri"/>
          <w:sz w:val="22"/>
          <w:szCs w:val="22"/>
        </w:rPr>
        <w:t>Utilización de prácticas magistrales reales o en video.</w:t>
      </w:r>
    </w:p>
    <w:p>
      <w:pPr>
        <w:pStyle w:val="ListParagraph"/>
        <w:numPr>
          <w:ilvl w:val="0"/>
          <w:numId w:val="4"/>
        </w:numPr>
        <w:ind w:left="284" w:hanging="284"/>
        <w:jc w:val="both"/>
        <w:rPr>
          <w:rFonts w:cs="Arial"/>
          <w:szCs w:val="20"/>
        </w:rPr>
      </w:pPr>
      <w:r>
        <w:rPr>
          <w:rFonts w:cs="Arial" w:ascii="Calibri" w:hAnsi="Calibri"/>
          <w:sz w:val="22"/>
          <w:szCs w:val="22"/>
        </w:rPr>
        <w:t xml:space="preserve">Proponer la resolución de ejercicios. </w:t>
      </w:r>
    </w:p>
    <w:p>
      <w:pPr>
        <w:pStyle w:val="ListParagraph"/>
        <w:numPr>
          <w:ilvl w:val="0"/>
          <w:numId w:val="4"/>
        </w:numPr>
        <w:ind w:left="284" w:hanging="284"/>
        <w:jc w:val="both"/>
        <w:rPr>
          <w:rFonts w:cs="Arial"/>
          <w:szCs w:val="20"/>
        </w:rPr>
      </w:pPr>
      <w:r>
        <w:rPr>
          <w:rFonts w:cs="Arial" w:ascii="Calibri" w:hAnsi="Calibri"/>
          <w:sz w:val="22"/>
          <w:szCs w:val="22"/>
        </w:rPr>
        <w:t xml:space="preserve">Resolución de problemas. Algún problema se soluciona con errores. Con esto queremos dos cosas, que estén atentos en clase y no se limiten solo a copiar y sobre todo, que vean que de los errores se aprende. </w:t>
      </w:r>
    </w:p>
    <w:p>
      <w:pPr>
        <w:pStyle w:val="ListParagraph"/>
        <w:numPr>
          <w:ilvl w:val="0"/>
          <w:numId w:val="4"/>
        </w:numPr>
        <w:ind w:left="284" w:hanging="284"/>
        <w:jc w:val="both"/>
        <w:rPr>
          <w:rFonts w:cs="Arial"/>
          <w:szCs w:val="20"/>
        </w:rPr>
      </w:pPr>
      <w:r>
        <w:rPr>
          <w:rFonts w:cs="Arial" w:ascii="Calibri" w:hAnsi="Calibri"/>
          <w:sz w:val="22"/>
          <w:szCs w:val="22"/>
        </w:rPr>
        <w:t xml:space="preserve">Explicación en la pizarra. </w:t>
      </w:r>
    </w:p>
    <w:p>
      <w:pPr>
        <w:pStyle w:val="ListParagraph"/>
        <w:numPr>
          <w:ilvl w:val="0"/>
          <w:numId w:val="4"/>
        </w:numPr>
        <w:ind w:left="284" w:hanging="284"/>
        <w:jc w:val="both"/>
        <w:rPr>
          <w:rFonts w:cs="Arial"/>
          <w:szCs w:val="20"/>
        </w:rPr>
      </w:pPr>
      <w:r>
        <w:rPr>
          <w:rFonts w:cs="Arial" w:ascii="Calibri" w:hAnsi="Calibri"/>
          <w:sz w:val="22"/>
          <w:szCs w:val="22"/>
        </w:rPr>
        <w:t>Descubrimiento de alguna parte teórica por los alumnos con la guía del profesor, utilizando conocimientos y capacidades que poseen.</w:t>
      </w:r>
    </w:p>
    <w:p>
      <w:pPr>
        <w:pStyle w:val="ListParagraph"/>
        <w:numPr>
          <w:ilvl w:val="0"/>
          <w:numId w:val="4"/>
        </w:numPr>
        <w:ind w:left="284" w:hanging="284"/>
        <w:jc w:val="both"/>
        <w:rPr>
          <w:rFonts w:cs="Arial"/>
          <w:szCs w:val="20"/>
        </w:rPr>
      </w:pPr>
      <w:r>
        <w:rPr>
          <w:rFonts w:cs="Arial" w:ascii="Calibri" w:hAnsi="Calibri"/>
          <w:sz w:val="22"/>
          <w:szCs w:val="22"/>
        </w:rPr>
        <w:t>Multitud de preguntas para ver su nivel de comprensión y de seguimiento.</w:t>
      </w:r>
    </w:p>
    <w:p>
      <w:pPr>
        <w:pStyle w:val="ListParagraph"/>
        <w:numPr>
          <w:ilvl w:val="0"/>
          <w:numId w:val="4"/>
        </w:numPr>
        <w:ind w:left="284" w:hanging="284"/>
        <w:jc w:val="both"/>
        <w:rPr>
          <w:rFonts w:cs="Arial"/>
          <w:szCs w:val="20"/>
        </w:rPr>
      </w:pPr>
      <w:r>
        <w:rPr>
          <w:rFonts w:cs="Arial" w:ascii="Calibri" w:hAnsi="Calibri"/>
          <w:sz w:val="22"/>
          <w:szCs w:val="22"/>
        </w:rPr>
        <w:t>Seguimiento de una presentación con ejercicios y ejemplos integrados.</w:t>
      </w:r>
    </w:p>
    <w:p>
      <w:pPr>
        <w:pStyle w:val="ListParagraph"/>
        <w:numPr>
          <w:ilvl w:val="0"/>
          <w:numId w:val="4"/>
        </w:numPr>
        <w:ind w:left="284" w:hanging="284"/>
        <w:jc w:val="both"/>
        <w:rPr>
          <w:rFonts w:cs="Arial"/>
          <w:szCs w:val="20"/>
        </w:rPr>
      </w:pPr>
      <w:r>
        <w:rPr>
          <w:rFonts w:cs="Arial" w:ascii="Calibri" w:hAnsi="Calibri"/>
          <w:sz w:val="22"/>
          <w:szCs w:val="22"/>
        </w:rPr>
        <w:t xml:space="preserve">Cuestiones o problemas resueltos por los alumnos en clase, con la posibilidad de preguntar todas sus dudas de forma individual.  </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 xml:space="preserve">Clase Invertida. </w:t>
      </w:r>
    </w:p>
    <w:p>
      <w:pPr>
        <w:pStyle w:val="ListParagraph"/>
        <w:ind w:left="0" w:hanging="0"/>
        <w:jc w:val="both"/>
        <w:rPr>
          <w:rFonts w:cs="Arial"/>
          <w:szCs w:val="20"/>
        </w:rPr>
      </w:pPr>
      <w:r>
        <w:rPr>
          <w:rFonts w:cs="Arial" w:ascii="Calibri" w:hAnsi="Calibri"/>
          <w:sz w:val="22"/>
          <w:szCs w:val="22"/>
        </w:rPr>
        <w:t xml:space="preserve">En alguna parte de las unidades didácticas se les manda un texto o textos a leer, simulaciones, videos para trabajar en casa y al día siguiente en clase se empieza resolviendo problemas o cuestiones sobre lo trabajado en casa </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 xml:space="preserve">Grupos interactivos. </w:t>
      </w:r>
    </w:p>
    <w:p>
      <w:pPr>
        <w:pStyle w:val="ListParagraph"/>
        <w:ind w:left="0" w:hanging="0"/>
        <w:jc w:val="both"/>
        <w:rPr>
          <w:rFonts w:cs="Arial"/>
          <w:szCs w:val="20"/>
        </w:rPr>
      </w:pPr>
      <w:r>
        <w:rPr>
          <w:rFonts w:cs="Arial" w:ascii="Calibri" w:hAnsi="Calibri"/>
          <w:sz w:val="22"/>
          <w:szCs w:val="22"/>
        </w:rPr>
        <w:t>Se realizan grupos heterogéneos con un adulto para facilitar el aprendizaje pues un uso correcto de la comunicación facilita la comprensión. Estos grupos está demostrado que son buenos para los alumnos, pues al verse forzados a explicar, interiorizan mejor lo aprendido y los alumnos que van peor al tener una comunicación de los contenidos en un nivel más próximo ven favorecida la comprensión de los contenidos.</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 xml:space="preserve">Laboratorio, </w:t>
      </w:r>
    </w:p>
    <w:p>
      <w:pPr>
        <w:pStyle w:val="ListParagraph"/>
        <w:ind w:left="0" w:hanging="0"/>
        <w:jc w:val="both"/>
        <w:rPr>
          <w:rFonts w:cs="Arial"/>
          <w:color w:val="FF0000"/>
          <w:szCs w:val="20"/>
        </w:rPr>
      </w:pPr>
      <w:r>
        <w:rPr>
          <w:rFonts w:cs="Arial" w:ascii="Calibri" w:hAnsi="Calibri"/>
          <w:sz w:val="22"/>
          <w:szCs w:val="22"/>
        </w:rPr>
        <w:t xml:space="preserve">Uso de experiencias diseñadas para entender mejor lo aprendido, ver la parte experimental de la Química, trabajar en pareja y elaborar el guion de prácticas. Esto les sirve para aprender y como agente motivador. La Química es una ciencia experimental y la adquisición de conocimientos debe estar ligada a la práctica en un laboratorio. Se utiliza el laboratorio para afianzar contenidos, si llevamos pequeñas practicas a clase la utilidad es aclarar ideas o plantear problemas iniciales. La elaboración de los guiones de prácticas les ayuda a expresarse de forma científica adecuada. Se entregara un documento con las pautas para realizar de forma correcta un buen guion de prácticas y las normas del laboratorio. </w:t>
      </w:r>
    </w:p>
    <w:p>
      <w:pPr>
        <w:pStyle w:val="Normal"/>
        <w:jc w:val="both"/>
        <w:rPr>
          <w:rFonts w:ascii="Cambria" w:hAnsi="Cambria" w:eastAsia="Cambria" w:cs="Cambria"/>
          <w:b/>
          <w:b/>
          <w:u w:val="single"/>
        </w:rPr>
      </w:pPr>
      <w:r>
        <w:rPr>
          <w:rFonts w:cs="Arial"/>
          <w:sz w:val="22"/>
          <w:szCs w:val="22"/>
        </w:rPr>
        <w:t>No obstante, se potenciarán principalmente las actividades que se encaminen a un desarrollo autónomo del alumno. Se utilizarán, asimismo, diversos recursos (libros de texto, fotocopias, medios de comunicación, Internet, presentaciones,…)</w:t>
      </w:r>
    </w:p>
    <w:p>
      <w:pPr>
        <w:pStyle w:val="Normal"/>
        <w:jc w:val="both"/>
        <w:rPr/>
      </w:pPr>
      <w:r>
        <w:rPr>
          <w:rFonts w:eastAsia="Cambria" w:cs="Cambria"/>
          <w:b/>
          <w:sz w:val="22"/>
          <w:szCs w:val="22"/>
          <w:u w:val="single"/>
        </w:rPr>
        <w:t xml:space="preserve"> </w:t>
      </w:r>
      <w:r>
        <w:rPr>
          <w:rFonts w:eastAsia="Cambria" w:cs="Cambria"/>
          <w:b/>
          <w:sz w:val="22"/>
          <w:szCs w:val="22"/>
          <w:u w:val="single"/>
        </w:rPr>
        <w:t>10. CONCRECIÓN DEL PLAN DE IMPLEMENTACIÓN DE ELEMENTOS TRANSVERSALES</w:t>
      </w:r>
    </w:p>
    <w:p>
      <w:pPr>
        <w:pStyle w:val="LOnormal"/>
        <w:jc w:val="both"/>
        <w:rPr>
          <w:rFonts w:ascii="Arial" w:hAnsi="Arial"/>
          <w:sz w:val="20"/>
          <w:szCs w:val="20"/>
        </w:rPr>
      </w:pPr>
      <w:r>
        <w:rPr>
          <w:rFonts w:eastAsia="Cambria" w:cs="Cambria"/>
          <w:color w:val="000000"/>
          <w:sz w:val="22"/>
          <w:szCs w:val="22"/>
        </w:rPr>
        <w:t>De acuerdo con la orden ECD/1172/2022, los elementos transversales que deberán trabajarse serán:</w:t>
      </w:r>
    </w:p>
    <w:p>
      <w:pPr>
        <w:pStyle w:val="LOnormal"/>
        <w:jc w:val="both"/>
        <w:rPr>
          <w:rFonts w:ascii="Arial" w:hAnsi="Arial"/>
          <w:sz w:val="20"/>
          <w:szCs w:val="20"/>
        </w:rPr>
      </w:pPr>
      <w:r>
        <w:rPr>
          <w:rFonts w:eastAsia="Cambria" w:cs="Cambria"/>
          <w:color w:val="000000"/>
          <w:sz w:val="22"/>
          <w:szCs w:val="22"/>
        </w:rPr>
        <w:t>La comprensión lectora y expresión oral y escrita se especificará en el punto 10, concreción del plan lector.</w:t>
      </w:r>
    </w:p>
    <w:p>
      <w:pPr>
        <w:pStyle w:val="LOnormal"/>
        <w:jc w:val="both"/>
        <w:rPr>
          <w:rFonts w:ascii="Arial" w:hAnsi="Arial"/>
          <w:sz w:val="20"/>
          <w:szCs w:val="20"/>
        </w:rPr>
      </w:pPr>
      <w:r>
        <w:rPr>
          <w:rFonts w:eastAsia="Cambria" w:cs="Cambria"/>
          <w:color w:val="000000"/>
          <w:sz w:val="22"/>
          <w:szCs w:val="22"/>
        </w:rPr>
        <w:t>La comunicación audiovisual y la competencia digital se especificará en el punto 12, la concreción del plan de utilización de las tecnologías digitales.</w:t>
      </w:r>
    </w:p>
    <w:p>
      <w:pPr>
        <w:pStyle w:val="LOnormal"/>
        <w:jc w:val="both"/>
        <w:rPr>
          <w:rFonts w:ascii="Arial" w:hAnsi="Arial"/>
          <w:sz w:val="20"/>
          <w:szCs w:val="20"/>
        </w:rPr>
      </w:pPr>
      <w:r>
        <w:rPr>
          <w:rFonts w:eastAsia="Cambria" w:cs="Cambria"/>
          <w:color w:val="000000"/>
          <w:sz w:val="22"/>
          <w:szCs w:val="22"/>
        </w:rPr>
        <w:t>El emprendimiento social y empresarial se desarrollará mediante actividades que potencien el aprendizaje significativo del alumnado y haciendo que el alumnado sea el centro del aprendizaje.</w:t>
      </w:r>
    </w:p>
    <w:p>
      <w:pPr>
        <w:pStyle w:val="LOnormal"/>
        <w:jc w:val="both"/>
        <w:rPr>
          <w:rFonts w:ascii="Arial" w:hAnsi="Arial"/>
          <w:sz w:val="20"/>
          <w:szCs w:val="20"/>
        </w:rPr>
      </w:pPr>
      <w:r>
        <w:rPr>
          <w:rFonts w:eastAsia="Cambria" w:cs="Cambria"/>
          <w:color w:val="000000"/>
          <w:sz w:val="22"/>
          <w:szCs w:val="22"/>
        </w:rPr>
        <w:t>El fomento del espíritu crítico y científico y la creatividad se desarrollarán a través de situaciones de aprendizaje en el que el alumnado tiene que dar su propia opinión basada en los conceptos estudiados y el desarrollo de actividades de laboratorio.</w:t>
      </w:r>
    </w:p>
    <w:p>
      <w:pPr>
        <w:pStyle w:val="LOnormal"/>
        <w:jc w:val="both"/>
        <w:rPr>
          <w:rFonts w:ascii="Arial" w:hAnsi="Arial"/>
          <w:sz w:val="20"/>
          <w:szCs w:val="20"/>
        </w:rPr>
      </w:pPr>
      <w:r>
        <w:rPr>
          <w:rFonts w:eastAsia="Cambria" w:cs="Cambria"/>
          <w:color w:val="000000"/>
          <w:sz w:val="22"/>
          <w:szCs w:val="22"/>
        </w:rPr>
        <w:t xml:space="preserve">La educación emocional y en valores, la igualdad de género, el respeto mutuo y la cooperación entre iguales se trabajarán mediante la mediación de los diferentes conflictos que puedan surgir en clase, respetando las diferentes opiniones, al igual que en el trabajo en equipo. </w:t>
      </w:r>
    </w:p>
    <w:p>
      <w:pPr>
        <w:pStyle w:val="LOnormal"/>
        <w:jc w:val="both"/>
        <w:rPr>
          <w:rFonts w:ascii="Arial" w:hAnsi="Arial" w:eastAsia="Cambria" w:cs="Cambria"/>
          <w:sz w:val="20"/>
          <w:szCs w:val="20"/>
        </w:rPr>
      </w:pPr>
      <w:r>
        <w:rPr>
          <w:rFonts w:eastAsia="Cambria" w:cs="Cambria"/>
          <w:color w:val="000000"/>
          <w:sz w:val="22"/>
          <w:szCs w:val="22"/>
        </w:rPr>
        <w:t>La educación para la salud, la formación estética, la educación para la sostenibilidad y el consumo responsable se emplearán durante las diferentes unidades didácticas ejemplos relacionados con la vida cotidiana del alumnado, basados en estos elementos transversales e incluyendo las ODS.</w:t>
      </w:r>
    </w:p>
    <w:p>
      <w:pPr>
        <w:pStyle w:val="Normal"/>
        <w:jc w:val="both"/>
        <w:rPr/>
      </w:pPr>
      <w:r>
        <w:rPr>
          <w:rFonts w:eastAsia="Cambria" w:cs="Cambria"/>
          <w:b/>
          <w:sz w:val="22"/>
          <w:szCs w:val="22"/>
          <w:u w:val="single"/>
        </w:rPr>
        <w:t>11. CONCRECIÓN DEL PLAN DE UTILIZACIÓN DE LAS TECNOLOGÍAS DIGITALES</w:t>
      </w:r>
      <w:r>
        <w:rPr>
          <w:rFonts w:eastAsia="Cambria" w:cs="Cambria"/>
          <w:sz w:val="22"/>
          <w:szCs w:val="22"/>
        </w:rPr>
        <w:t xml:space="preserve"> </w:t>
      </w:r>
    </w:p>
    <w:p>
      <w:pPr>
        <w:pStyle w:val="Normal"/>
        <w:jc w:val="both"/>
        <w:rPr>
          <w:rFonts w:cs="Arial"/>
          <w:szCs w:val="20"/>
        </w:rPr>
      </w:pPr>
      <w:r>
        <w:rPr>
          <w:rFonts w:cs="Arial"/>
          <w:sz w:val="22"/>
          <w:szCs w:val="22"/>
        </w:rPr>
        <w:t xml:space="preserve">En consonancia con las características del actual contexto socio-cultural y, por consiguiente, con las inquietudes e intereses de los alumnos, es importante integrar las nuevas tecnologías en el aula. </w:t>
      </w:r>
    </w:p>
    <w:p>
      <w:pPr>
        <w:pStyle w:val="Normal"/>
        <w:jc w:val="both"/>
        <w:rPr>
          <w:rFonts w:cs="Arial"/>
          <w:szCs w:val="20"/>
        </w:rPr>
      </w:pPr>
      <w:r>
        <w:rPr>
          <w:rFonts w:cs="Arial"/>
          <w:sz w:val="22"/>
          <w:szCs w:val="22"/>
        </w:rPr>
        <w:t xml:space="preserve">Los alumnos utilizarán el ordenador para la </w:t>
      </w:r>
      <w:r>
        <w:rPr>
          <w:rFonts w:cs="Arial"/>
          <w:b/>
          <w:sz w:val="22"/>
          <w:szCs w:val="22"/>
        </w:rPr>
        <w:t>búsqueda y selección de informaciones</w:t>
      </w:r>
      <w:r>
        <w:rPr>
          <w:rFonts w:cs="Arial"/>
          <w:sz w:val="22"/>
          <w:szCs w:val="22"/>
        </w:rPr>
        <w:t xml:space="preserve"> necesarias para la elaboración y realización de prácticas de laboratorio así como </w:t>
      </w:r>
      <w:r>
        <w:rPr>
          <w:rFonts w:cs="Arial"/>
          <w:b/>
          <w:sz w:val="22"/>
          <w:szCs w:val="22"/>
        </w:rPr>
        <w:t>medio de consulta</w:t>
      </w:r>
      <w:r>
        <w:rPr>
          <w:rFonts w:cs="Arial"/>
          <w:sz w:val="22"/>
          <w:szCs w:val="22"/>
        </w:rPr>
        <w:t>. Esta labor será realizada frecuentemente fuera del horario lectivo, aunque también se podrá realizar dentro de alguna sesión.</w:t>
      </w:r>
    </w:p>
    <w:p>
      <w:pPr>
        <w:pStyle w:val="Normal"/>
        <w:jc w:val="both"/>
        <w:rPr>
          <w:rFonts w:cs="Arial"/>
          <w:szCs w:val="20"/>
        </w:rPr>
      </w:pPr>
      <w:r>
        <w:rPr>
          <w:rFonts w:cs="Arial"/>
          <w:sz w:val="22"/>
          <w:szCs w:val="22"/>
        </w:rPr>
        <w:t xml:space="preserve">El profesor utilizará en el aula el ordenador fijo de aula y el proyector para la </w:t>
      </w:r>
      <w:r>
        <w:rPr>
          <w:rFonts w:cs="Arial"/>
          <w:b/>
          <w:sz w:val="22"/>
          <w:szCs w:val="22"/>
        </w:rPr>
        <w:t>ilustración y/ o ampliación de determinados contenidos</w:t>
      </w:r>
      <w:r>
        <w:rPr>
          <w:rFonts w:cs="Arial"/>
          <w:sz w:val="22"/>
          <w:szCs w:val="22"/>
        </w:rPr>
        <w:t xml:space="preserve"> de la programación. Los alumnos podrán utilizarlo si resulta necesario para la </w:t>
      </w:r>
      <w:r>
        <w:rPr>
          <w:rFonts w:cs="Arial"/>
          <w:b/>
          <w:sz w:val="22"/>
          <w:szCs w:val="22"/>
        </w:rPr>
        <w:t>presentación</w:t>
      </w:r>
      <w:r>
        <w:rPr>
          <w:rFonts w:cs="Arial"/>
          <w:sz w:val="22"/>
          <w:szCs w:val="22"/>
        </w:rPr>
        <w:t xml:space="preserve"> de alguno de sus </w:t>
      </w:r>
      <w:r>
        <w:rPr>
          <w:rFonts w:cs="Arial"/>
          <w:b/>
          <w:sz w:val="22"/>
          <w:szCs w:val="22"/>
        </w:rPr>
        <w:t>trabajos</w:t>
      </w:r>
      <w:r>
        <w:rPr>
          <w:rFonts w:cs="Arial"/>
          <w:sz w:val="22"/>
          <w:szCs w:val="22"/>
        </w:rPr>
        <w:t>, si previamente se ha indicado que pueden o deben ser presentados en ese formato.</w:t>
      </w:r>
    </w:p>
    <w:p>
      <w:pPr>
        <w:pStyle w:val="Normal"/>
        <w:jc w:val="both"/>
        <w:rPr>
          <w:rFonts w:cs="Arial"/>
          <w:szCs w:val="20"/>
        </w:rPr>
      </w:pPr>
      <w:r>
        <w:rPr>
          <w:rFonts w:cs="Arial"/>
          <w:sz w:val="22"/>
          <w:szCs w:val="22"/>
        </w:rPr>
        <w:t xml:space="preserve">Los alumnos tendrán un </w:t>
      </w:r>
      <w:r>
        <w:rPr>
          <w:rFonts w:cs="Arial"/>
          <w:b/>
          <w:sz w:val="22"/>
          <w:szCs w:val="22"/>
        </w:rPr>
        <w:t>grupo de whasapp con la participación del profesor</w:t>
      </w:r>
      <w:r>
        <w:rPr>
          <w:rFonts w:cs="Arial"/>
          <w:sz w:val="22"/>
          <w:szCs w:val="22"/>
        </w:rPr>
        <w:t xml:space="preserve"> para </w:t>
      </w:r>
      <w:r>
        <w:rPr>
          <w:rFonts w:cs="Arial"/>
          <w:b/>
          <w:sz w:val="22"/>
          <w:szCs w:val="22"/>
        </w:rPr>
        <w:t xml:space="preserve">resolver dudas </w:t>
      </w:r>
      <w:r>
        <w:rPr>
          <w:rFonts w:cs="Arial"/>
          <w:sz w:val="22"/>
          <w:szCs w:val="22"/>
        </w:rPr>
        <w:t xml:space="preserve">puntuales, sobre problemas o teoría. Se utilizara como si fuera un </w:t>
      </w:r>
      <w:r>
        <w:rPr>
          <w:rFonts w:cs="Arial"/>
          <w:b/>
          <w:sz w:val="22"/>
          <w:szCs w:val="22"/>
        </w:rPr>
        <w:t>grupo de trabajo</w:t>
      </w:r>
      <w:r>
        <w:rPr>
          <w:rFonts w:cs="Arial"/>
          <w:sz w:val="22"/>
          <w:szCs w:val="22"/>
        </w:rPr>
        <w:t>, donde compartir dudas y resoluciones.</w:t>
      </w:r>
    </w:p>
    <w:p>
      <w:pPr>
        <w:pStyle w:val="Normal"/>
        <w:jc w:val="both"/>
        <w:rPr>
          <w:rFonts w:cs="Arial"/>
          <w:szCs w:val="20"/>
        </w:rPr>
      </w:pPr>
      <w:r>
        <w:rPr>
          <w:rFonts w:cs="Arial"/>
          <w:sz w:val="22"/>
          <w:szCs w:val="22"/>
        </w:rPr>
        <w:t xml:space="preserve">Se colgarán diversos trabajos y aportaciones de los alumnos en las redes sociales del IES. </w:t>
      </w:r>
    </w:p>
    <w:p>
      <w:pPr>
        <w:pStyle w:val="Normal"/>
        <w:jc w:val="both"/>
        <w:rPr>
          <w:rFonts w:cs="Arial"/>
          <w:szCs w:val="20"/>
        </w:rPr>
      </w:pPr>
      <w:r>
        <w:rPr>
          <w:rFonts w:eastAsia="Cambria" w:cs="Cambria"/>
          <w:b/>
          <w:sz w:val="22"/>
          <w:szCs w:val="22"/>
          <w:u w:val="single"/>
        </w:rPr>
        <w:t>Se utiliza la plataforma Classroom para colgar apuntes, presentaciones, las colecciones de</w:t>
      </w:r>
      <w:r>
        <w:rPr>
          <w:rFonts w:cs="Arial"/>
          <w:sz w:val="22"/>
          <w:szCs w:val="22"/>
        </w:rPr>
        <w:t xml:space="preserve"> ejercicios de EVAU, enlaces a ejercicios de la Olimpiada Química, problemas y cuestiones resueltos, enlaces a paginas web y cualquier material que se pueda compartir con lso alumnos. </w:t>
      </w:r>
    </w:p>
    <w:p>
      <w:pPr>
        <w:pStyle w:val="Normal"/>
        <w:jc w:val="both"/>
        <w:rPr/>
      </w:pPr>
      <w:r>
        <w:rPr>
          <w:rFonts w:eastAsia="Cambria" w:cs="Cambria"/>
          <w:b/>
          <w:sz w:val="22"/>
          <w:szCs w:val="22"/>
          <w:u w:val="single"/>
        </w:rPr>
        <w:t>12. CONCRECIÓN DEL PLAN LECTOR</w:t>
      </w:r>
    </w:p>
    <w:p>
      <w:pPr>
        <w:pStyle w:val="Normal"/>
        <w:jc w:val="both"/>
        <w:rPr>
          <w:rFonts w:cs="Arial"/>
          <w:szCs w:val="20"/>
        </w:rPr>
      </w:pPr>
      <w:r>
        <w:rPr>
          <w:rFonts w:cs="Arial"/>
          <w:sz w:val="22"/>
          <w:szCs w:val="22"/>
        </w:rPr>
        <w:t xml:space="preserve">Este punto es considerado clave en el centro, como evidencia el </w:t>
      </w:r>
      <w:r>
        <w:rPr>
          <w:rFonts w:cs="Arial"/>
          <w:b/>
          <w:sz w:val="22"/>
          <w:szCs w:val="22"/>
        </w:rPr>
        <w:t xml:space="preserve">Plan de Animación a la Lectura, englobado dentro del Plan de Competencia Ligüistica. </w:t>
      </w:r>
      <w:r>
        <w:rPr>
          <w:rFonts w:cs="Arial"/>
          <w:sz w:val="22"/>
          <w:szCs w:val="22"/>
        </w:rPr>
        <w:t>Al estar en un curso de bachillerato, además terminal y con una prueba tan definitiva como es la EVAU, se valorara realizar la lectura de algún texto científico, y/o científico divulgativo siempre que la temporalización lo permita.</w:t>
      </w:r>
    </w:p>
    <w:p>
      <w:pPr>
        <w:pStyle w:val="Normal"/>
        <w:jc w:val="both"/>
        <w:rPr/>
      </w:pPr>
      <w:r>
        <w:rPr>
          <w:rFonts w:eastAsia="Cambria" w:cs="Cambria"/>
          <w:b/>
          <w:sz w:val="22"/>
          <w:szCs w:val="22"/>
          <w:u w:val="single"/>
        </w:rPr>
        <w:t>13. MECANISMOS DE REVISIÓN, EVALUACIÓN Y MODIFICACIÓN DE LAS PROGRAMACIONES DIDÁCTICAS</w:t>
      </w:r>
    </w:p>
    <w:p>
      <w:pPr>
        <w:pStyle w:val="LOnormal"/>
        <w:jc w:val="both"/>
        <w:rPr>
          <w:rFonts w:ascii="Cambria" w:hAnsi="Cambria" w:eastAsia="Cambria" w:cs="Cambria"/>
          <w:color w:val="000000"/>
        </w:rPr>
      </w:pPr>
      <w:r>
        <w:rPr>
          <w:rFonts w:eastAsia="Cambria" w:cs="Cambria"/>
          <w:color w:val="000000"/>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LOnormal"/>
        <w:jc w:val="both"/>
        <w:rPr>
          <w:rFonts w:ascii="Cambria" w:hAnsi="Cambria" w:eastAsia="Cambria" w:cs="Cambria"/>
          <w:color w:val="000000"/>
        </w:rPr>
      </w:pPr>
      <w:r>
        <w:rPr>
          <w:rFonts w:eastAsia="Cambria" w:cs="Cambria"/>
          <w:color w:val="000000"/>
          <w:sz w:val="22"/>
          <w:szCs w:val="22"/>
        </w:rPr>
        <w:t xml:space="preserve">Durante el desarrollo del curso, el grado de cumplimiento de la programación de cada materia se valora mensualmente en una de las Reuniones de Departamento. De esta forma se pueden detectar desviaciones entre los diferentes grupos de un mismo nivel, por ejemplo. </w:t>
      </w:r>
    </w:p>
    <w:p>
      <w:pPr>
        <w:pStyle w:val="LOnormal"/>
        <w:jc w:val="both"/>
        <w:rPr>
          <w:rFonts w:ascii="Cambria" w:hAnsi="Cambria" w:eastAsia="Cambria" w:cs="Cambria"/>
          <w:color w:val="000000"/>
        </w:rPr>
      </w:pPr>
      <w:r>
        <w:rPr>
          <w:rFonts w:eastAsia="Cambria" w:cs="Cambria"/>
          <w:color w:val="000000"/>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LOnormal"/>
        <w:jc w:val="both"/>
        <w:rPr>
          <w:rFonts w:ascii="Cambria" w:hAnsi="Cambria" w:eastAsia="Cambria" w:cs="Cambria"/>
          <w:color w:val="000000"/>
        </w:rPr>
      </w:pPr>
      <w:r>
        <w:rPr>
          <w:rFonts w:eastAsia="Cambria" w:cs="Cambria"/>
          <w:color w:val="000000"/>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LOnormal"/>
        <w:jc w:val="both"/>
        <w:rPr>
          <w:rFonts w:ascii="Cambria" w:hAnsi="Cambria" w:eastAsia="Cambria" w:cs="Cambria"/>
          <w:color w:val="000000"/>
        </w:rPr>
      </w:pPr>
      <w:r>
        <w:rPr>
          <w:rFonts w:eastAsia="Cambria" w:cs="Cambria"/>
          <w:color w:val="000000"/>
          <w:sz w:val="22"/>
          <w:szCs w:val="22"/>
        </w:rPr>
        <w:t xml:space="preserve">Finalmente, se procederá a revisar la programación una vez que el curso haya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pPr>
      <w:r>
        <w:rPr>
          <w:rFonts w:eastAsia="Cambria" w:cs="Cambria"/>
          <w:b/>
          <w:sz w:val="22"/>
          <w:szCs w:val="22"/>
          <w:u w:val="single"/>
        </w:rPr>
        <w:t>14. ACTIVIDADES COMPLEMENTARIAS Y EXTRAESCOLARES</w:t>
      </w:r>
    </w:p>
    <w:p>
      <w:pPr>
        <w:pStyle w:val="Normal"/>
        <w:jc w:val="both"/>
        <w:rPr>
          <w:u w:val="single"/>
        </w:rPr>
      </w:pPr>
      <w:r>
        <w:rPr>
          <w:rFonts w:eastAsia="Cambria" w:cs="Cambria"/>
          <w:sz w:val="22"/>
          <w:szCs w:val="22"/>
          <w:u w:val="single"/>
        </w:rPr>
        <w:t>Visita al ISQCH</w:t>
      </w:r>
    </w:p>
    <w:p>
      <w:pPr>
        <w:pStyle w:val="Normal"/>
        <w:numPr>
          <w:ilvl w:val="0"/>
          <w:numId w:val="5"/>
        </w:numPr>
        <w:jc w:val="both"/>
        <w:rPr>
          <w:rFonts w:ascii="Arial" w:hAnsi="Arial"/>
          <w:sz w:val="20"/>
          <w:szCs w:val="20"/>
        </w:rPr>
      </w:pPr>
      <w:r>
        <w:rPr>
          <w:rFonts w:eastAsia="Cambria" w:cs="Cambria"/>
          <w:sz w:val="22"/>
          <w:szCs w:val="22"/>
        </w:rPr>
        <w:t xml:space="preserve">En esta visita el catedrático Jesús Pérez hace una presentación del Instituto y de la facultada de ciencias </w:t>
      </w:r>
    </w:p>
    <w:p>
      <w:pPr>
        <w:pStyle w:val="Normal"/>
        <w:numPr>
          <w:ilvl w:val="0"/>
          <w:numId w:val="5"/>
        </w:numPr>
        <w:jc w:val="both"/>
        <w:rPr>
          <w:rFonts w:ascii="Arial" w:hAnsi="Arial"/>
          <w:sz w:val="20"/>
          <w:szCs w:val="20"/>
        </w:rPr>
      </w:pPr>
      <w:r>
        <w:rPr>
          <w:rFonts w:eastAsia="Cambria" w:cs="Cambria"/>
          <w:sz w:val="22"/>
          <w:szCs w:val="22"/>
        </w:rPr>
        <w:t>Una demostración experimental sobre diferentes lineas de investigación del ISQCH</w:t>
      </w:r>
    </w:p>
    <w:p>
      <w:pPr>
        <w:pStyle w:val="Normal"/>
        <w:numPr>
          <w:ilvl w:val="0"/>
          <w:numId w:val="5"/>
        </w:numPr>
        <w:jc w:val="both"/>
        <w:rPr>
          <w:rFonts w:ascii="Arial" w:hAnsi="Arial"/>
          <w:sz w:val="20"/>
          <w:szCs w:val="20"/>
        </w:rPr>
      </w:pPr>
      <w:r>
        <w:rPr>
          <w:rFonts w:eastAsia="Cambria" w:cs="Cambria"/>
          <w:sz w:val="22"/>
          <w:szCs w:val="22"/>
        </w:rPr>
        <w:t>Una visita a los laboratorios de investigación, con visita al RMN y difracto metro de rayos X</w:t>
      </w:r>
    </w:p>
    <w:p>
      <w:pPr>
        <w:pStyle w:val="Normal"/>
        <w:numPr>
          <w:ilvl w:val="0"/>
          <w:numId w:val="5"/>
        </w:numPr>
        <w:jc w:val="both"/>
        <w:rPr>
          <w:rFonts w:ascii="Cambria" w:hAnsi="Cambria" w:eastAsia="Cambria" w:cs="Cambria"/>
        </w:rPr>
      </w:pPr>
      <w:r>
        <w:rPr>
          <w:rFonts w:eastAsia="Cambria" w:cs="Cambria"/>
          <w:sz w:val="22"/>
          <w:szCs w:val="22"/>
        </w:rPr>
        <w:t>Charla con alumnos que están cursando grados de ciencias, ingeniería, FP superior……..</w:t>
      </w:r>
    </w:p>
    <w:p>
      <w:pPr>
        <w:pStyle w:val="Normal"/>
        <w:jc w:val="both"/>
        <w:rPr/>
      </w:pPr>
      <w:r>
        <w:rPr>
          <w:rFonts w:eastAsia="Cambria" w:cs="Cambria"/>
          <w:b/>
          <w:smallCaps/>
          <w:sz w:val="22"/>
          <w:szCs w:val="22"/>
          <w:u w:val="single"/>
        </w:rPr>
        <w:t>15. FORMA EN LA QUE SE DAN A CONOCER LOS ASPECTOS RELEVANTES DE ESTA PROGRAMACIÓN AL ALUMNADO Y LAS FAMILIAS</w:t>
      </w:r>
    </w:p>
    <w:p>
      <w:pPr>
        <w:pStyle w:val="Normal"/>
        <w:jc w:val="both"/>
        <w:rPr>
          <w:rFonts w:ascii="Cambria" w:hAnsi="Cambria"/>
        </w:rPr>
      </w:pPr>
      <w:r>
        <w:rPr>
          <w:rFonts w:eastAsia="Cambria" w:cs="Cambria"/>
          <w:sz w:val="22"/>
          <w:szCs w:val="22"/>
        </w:rPr>
        <w:t xml:space="preserve">Los criterios de Calificación, instrumentos de evaluación se dan a conocer el primer  día del curso a los alumnos. </w:t>
      </w:r>
    </w:p>
    <w:p>
      <w:pPr>
        <w:pStyle w:val="Normal"/>
        <w:jc w:val="both"/>
        <w:rPr>
          <w:rFonts w:ascii="Cambria" w:hAnsi="Cambria"/>
        </w:rPr>
      </w:pPr>
      <w:r>
        <w:rPr>
          <w:rFonts w:eastAsia="Cambria" w:cs="Cambria"/>
          <w:sz w:val="22"/>
          <w:szCs w:val="22"/>
        </w:rPr>
        <w:t xml:space="preserve">Ademas se informa de que están colgados de la pagina web del instituto  </w:t>
      </w:r>
    </w:p>
    <w:p>
      <w:pPr>
        <w:pStyle w:val="Normal"/>
        <w:spacing w:before="0" w:after="200"/>
        <w:jc w:val="both"/>
        <w:rPr/>
      </w:pPr>
      <w:r>
        <w:rPr/>
      </w:r>
      <w:bookmarkStart w:id="8" w:name="__DdeLink__7565_2332589330"/>
      <w:bookmarkStart w:id="9" w:name="__DdeLink__7565_2332589330"/>
      <w:bookmarkEnd w:id="9"/>
    </w:p>
    <w:sectPr>
      <w:headerReference w:type="default" r:id="rId2"/>
      <w:footerReference w:type="default" r:id="rId3"/>
      <w:footnotePr>
        <w:numFmt w:val="decimal"/>
      </w:footnotePr>
      <w:type w:val="nextPage"/>
      <w:pgSz w:w="11906" w:h="16838"/>
      <w:pgMar w:left="1701" w:right="1701" w:header="708" w:top="1417" w:footer="708" w:bottom="1417" w:gutter="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mbria">
    <w:charset w:val="00"/>
    <w:family w:val="roman"/>
    <w:pitch w:val="variable"/>
  </w:font>
  <w:font w:name="Georgia">
    <w:charset w:val="00"/>
    <w:family w:val="roman"/>
    <w:pitch w:val="variable"/>
  </w:font>
  <w:font w:name="Verdana">
    <w:charset w:val="00"/>
    <w:family w:val="roman"/>
    <w:pitch w:val="variable"/>
  </w:font>
  <w:font w:name="Calibri">
    <w:altName w:val="sans-serif"/>
    <w:charset w:val="00"/>
    <w:family w:val="roman"/>
    <w:pitch w:val="variable"/>
  </w:font>
  <w:font w:name="Arial Narrow">
    <w:charset w:val="00"/>
    <w:family w:val="roman"/>
    <w:pitch w:val="variable"/>
  </w:font>
  <w:font w:name="Noto Sans Symbols">
    <w:charset w:val="01"/>
    <w:family w:val="auto"/>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before="120" w:after="0"/>
      <w:ind w:left="142" w:hanging="0"/>
      <w:jc w:val="center"/>
      <w:rPr>
        <w:rFonts w:ascii="Arial Narrow" w:hAnsi="Arial Narrow" w:eastAsia="Arial Narrow" w:cs="Arial Narrow"/>
        <w:b/>
        <w:b/>
        <w:smallCaps/>
        <w:color w:val="366091"/>
        <w:sz w:val="18"/>
        <w:szCs w:val="18"/>
      </w:rPr>
    </w:pPr>
    <w:r>
      <w:rPr>
        <w:rFonts w:eastAsia="Arial Narrow" w:cs="Arial Narrow" w:ascii="Arial Narrow" w:hAnsi="Arial Narrow"/>
        <w:b/>
        <w:smallCaps/>
        <w:color w:val="366091"/>
        <w:sz w:val="18"/>
        <w:szCs w:val="18"/>
      </w:rPr>
      <w:t xml:space="preserve">IES LA PUEBLA DE </w:t>
    </w:r>
    <w:r>
      <w:rPr>
        <w:rFonts w:eastAsia="Arial Narrow" w:cs="Arial Narrow" w:ascii="Arial Narrow" w:hAnsi="Arial Narrow"/>
        <w:b/>
        <w:smallCaps/>
        <w:color w:val="365F91"/>
        <w:sz w:val="18"/>
        <w:szCs w:val="18"/>
      </w:rPr>
      <w:t>ALFINDÉN</w:t>
    </w:r>
  </w:p>
  <w:p>
    <w:pPr>
      <w:pStyle w:val="Normal"/>
      <w:tabs>
        <w:tab w:val="clear" w:pos="720"/>
        <w:tab w:val="center" w:pos="4252" w:leader="none"/>
        <w:tab w:val="right" w:pos="8504" w:leader="none"/>
      </w:tabs>
      <w:spacing w:lineRule="auto" w:line="240" w:before="0" w:after="0"/>
      <w:ind w:left="142" w:hanging="0"/>
      <w:jc w:val="center"/>
      <w:rPr>
        <w:sz w:val="18"/>
        <w:szCs w:val="18"/>
      </w:rPr>
    </w:pPr>
    <w:r>
      <w:rPr>
        <w:sz w:val="18"/>
        <w:szCs w:val="18"/>
      </w:rPr>
      <w:t>Av. de Pastriz, nº 2 – 50171 – La Puebla de Alfindén, Zaragoza | 976 107 602</w:t>
    </w:r>
  </w:p>
  <w:p>
    <w:pPr>
      <w:pStyle w:val="Normal"/>
      <w:tabs>
        <w:tab w:val="clear" w:pos="720"/>
        <w:tab w:val="center" w:pos="4252" w:leader="none"/>
        <w:tab w:val="right" w:pos="8504" w:leader="none"/>
      </w:tabs>
      <w:spacing w:lineRule="auto" w:line="240" w:before="0" w:after="0"/>
      <w:jc w:val="center"/>
      <w:rPr/>
    </w:pPr>
    <w:r>
      <w:rPr>
        <w:sz w:val="18"/>
        <w:szCs w:val="18"/>
      </w:rPr>
      <w:t>ieslapuebla@educa.aragon.es | ieslapuebladealfinden.com</w:t>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taalpie"/>
        <w:rPr/>
      </w:pPr>
      <w:r>
        <w:rPr>
          <w:rStyle w:val="Caracteresdenotaalpie"/>
        </w:rPr>
        <w:footnoteRef/>
      </w:r>
      <w:r>
        <w:rPr/>
        <w:t xml:space="preserve"> </w:t>
      </w:r>
      <w:r>
        <w:rPr/>
        <w:t>Desde el departamento de Orientación se realiza la formación necesaria para ser voluntario en los grupos interactivos. Ademas de padres también pueden ser voluntarios otros profesores</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252" w:leader="none"/>
        <w:tab w:val="right" w:pos="8504" w:leader="none"/>
      </w:tabs>
      <w:spacing w:lineRule="auto" w:line="240" w:before="0" w:after="0"/>
      <w:rPr/>
    </w:pPr>
    <w:r>
      <w:rPr/>
      <w:drawing>
        <wp:anchor behindDoc="1" distT="0" distB="0" distL="0" distR="0" simplePos="0" locked="0" layoutInCell="1" allowOverlap="1" relativeHeight="41">
          <wp:simplePos x="0" y="0"/>
          <wp:positionH relativeFrom="column">
            <wp:posOffset>4195445</wp:posOffset>
          </wp:positionH>
          <wp:positionV relativeFrom="paragraph">
            <wp:posOffset>-279400</wp:posOffset>
          </wp:positionV>
          <wp:extent cx="1617980" cy="721995"/>
          <wp:effectExtent l="0" t="0" r="0" b="0"/>
          <wp:wrapTopAndBottom/>
          <wp:docPr id="1"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descr=""/>
                  <pic:cNvPicPr>
                    <a:picLocks noChangeAspect="1" noChangeArrowheads="1"/>
                  </pic:cNvPicPr>
                </pic:nvPicPr>
                <pic:blipFill>
                  <a:blip r:embed="rId1"/>
                  <a:srcRect l="-13" t="-28" r="-13" b="-28"/>
                  <a:stretch>
                    <a:fillRect/>
                  </a:stretch>
                </pic:blipFill>
                <pic:spPr bwMode="auto">
                  <a:xfrm>
                    <a:off x="0" y="0"/>
                    <a:ext cx="1617980" cy="72199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Noto Sans Symbols" w:hAnsi="Noto Sans Symbols" w:cs="Noto Sans Symbols" w:hint="default"/>
        <w:sz w:val="20"/>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2">
    <w:lvl w:ilvl="0">
      <w:start w:val="1"/>
      <w:numFmt w:val="bullet"/>
      <w:lvlText w:val=""/>
      <w:lvlJc w:val="left"/>
      <w:pPr>
        <w:ind w:left="720" w:hanging="360"/>
      </w:pPr>
      <w:rPr>
        <w:rFonts w:ascii="Symbol" w:hAnsi="Symbol" w:cs="Symbol" w:hint="default"/>
        <w:sz w:val="20"/>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ind w:left="-180" w:hanging="360"/>
      </w:pPr>
      <w:rPr>
        <w:rFonts w:ascii="Symbol" w:hAnsi="Symbol" w:cs="Symbol" w:hint="default"/>
        <w:rFonts w:cs="Symbol"/>
      </w:rPr>
    </w:lvl>
    <w:lvl w:ilvl="1">
      <w:start w:val="1"/>
      <w:numFmt w:val="bullet"/>
      <w:lvlText w:val="o"/>
      <w:lvlJc w:val="left"/>
      <w:pPr>
        <w:ind w:left="540" w:hanging="360"/>
      </w:pPr>
      <w:rPr>
        <w:rFonts w:ascii="Courier New" w:hAnsi="Courier New" w:cs="Courier New" w:hint="default"/>
        <w:rFonts w:cs="Courier New"/>
      </w:rPr>
    </w:lvl>
    <w:lvl w:ilvl="2">
      <w:start w:val="1"/>
      <w:numFmt w:val="bullet"/>
      <w:lvlText w:val=""/>
      <w:lvlJc w:val="left"/>
      <w:pPr>
        <w:ind w:left="1260" w:hanging="360"/>
      </w:pPr>
      <w:rPr>
        <w:rFonts w:ascii="Wingdings" w:hAnsi="Wingdings" w:cs="Wingdings" w:hint="default"/>
        <w:rFonts w:cs="Wingdings"/>
      </w:rPr>
    </w:lvl>
    <w:lvl w:ilvl="3">
      <w:start w:val="1"/>
      <w:numFmt w:val="bullet"/>
      <w:lvlText w:val=""/>
      <w:lvlJc w:val="left"/>
      <w:pPr>
        <w:ind w:left="1980" w:hanging="360"/>
      </w:pPr>
      <w:rPr>
        <w:rFonts w:ascii="Symbol" w:hAnsi="Symbol" w:cs="Symbol" w:hint="default"/>
        <w:rFonts w:cs="Symbol"/>
      </w:rPr>
    </w:lvl>
    <w:lvl w:ilvl="4">
      <w:start w:val="1"/>
      <w:numFmt w:val="bullet"/>
      <w:lvlText w:val="o"/>
      <w:lvlJc w:val="left"/>
      <w:pPr>
        <w:ind w:left="2700" w:hanging="360"/>
      </w:pPr>
      <w:rPr>
        <w:rFonts w:ascii="Courier New" w:hAnsi="Courier New" w:cs="Courier New" w:hint="default"/>
        <w:rFonts w:cs="Courier New"/>
      </w:rPr>
    </w:lvl>
    <w:lvl w:ilvl="5">
      <w:start w:val="1"/>
      <w:numFmt w:val="bullet"/>
      <w:lvlText w:val=""/>
      <w:lvlJc w:val="left"/>
      <w:pPr>
        <w:ind w:left="3420" w:hanging="360"/>
      </w:pPr>
      <w:rPr>
        <w:rFonts w:ascii="Wingdings" w:hAnsi="Wingdings" w:cs="Wingdings" w:hint="default"/>
        <w:rFonts w:cs="Wingdings"/>
      </w:rPr>
    </w:lvl>
    <w:lvl w:ilvl="6">
      <w:start w:val="1"/>
      <w:numFmt w:val="bullet"/>
      <w:lvlText w:val=""/>
      <w:lvlJc w:val="left"/>
      <w:pPr>
        <w:ind w:left="4140" w:hanging="360"/>
      </w:pPr>
      <w:rPr>
        <w:rFonts w:ascii="Symbol" w:hAnsi="Symbol" w:cs="Symbol" w:hint="default"/>
        <w:rFonts w:cs="Symbol"/>
      </w:rPr>
    </w:lvl>
    <w:lvl w:ilvl="7">
      <w:start w:val="1"/>
      <w:numFmt w:val="bullet"/>
      <w:lvlText w:val="o"/>
      <w:lvlJc w:val="left"/>
      <w:pPr>
        <w:ind w:left="4860" w:hanging="360"/>
      </w:pPr>
      <w:rPr>
        <w:rFonts w:ascii="Courier New" w:hAnsi="Courier New" w:cs="Courier New" w:hint="default"/>
        <w:rFonts w:cs="Courier New"/>
      </w:rPr>
    </w:lvl>
    <w:lvl w:ilvl="8">
      <w:start w:val="1"/>
      <w:numFmt w:val="bullet"/>
      <w:lvlText w:val=""/>
      <w:lvlJc w:val="left"/>
      <w:pPr>
        <w:ind w:left="5580" w:hanging="360"/>
      </w:pPr>
      <w:rPr>
        <w:rFonts w:ascii="Wingdings" w:hAnsi="Wingdings" w:cs="Wingdings" w:hint="default"/>
        <w:rFonts w:cs="Wingdings"/>
      </w:rPr>
    </w:lvl>
  </w:abstractNum>
  <w:abstractNum w:abstractNumId="5">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fals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color w:val="00000A"/>
        <w:szCs w:val="22"/>
        <w:lang w:val="es-ES" w:eastAsia="es-E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f86824"/>
    <w:pPr>
      <w:widowControl/>
      <w:suppressAutoHyphens w:val="true"/>
      <w:bidi w:val="0"/>
      <w:spacing w:lineRule="auto" w:line="276" w:before="0" w:after="200"/>
      <w:jc w:val="left"/>
    </w:pPr>
    <w:rPr>
      <w:rFonts w:ascii="Calibri" w:hAnsi="Calibri" w:eastAsia="Calibri" w:cs="Calibri"/>
      <w:color w:val="00000A"/>
      <w:kern w:val="0"/>
      <w:sz w:val="22"/>
      <w:szCs w:val="22"/>
      <w:lang w:val="es-ES" w:eastAsia="es-ES" w:bidi="ar-SA"/>
    </w:rPr>
  </w:style>
  <w:style w:type="paragraph" w:styleId="Ttulo1">
    <w:name w:val="Heading 1"/>
    <w:basedOn w:val="Normal"/>
    <w:next w:val="Normal"/>
    <w:qFormat/>
    <w:pPr>
      <w:keepNext w:val="true"/>
      <w:keepLines/>
      <w:spacing w:before="480" w:after="120"/>
      <w:outlineLvl w:val="0"/>
    </w:pPr>
    <w:rPr>
      <w:b/>
      <w:sz w:val="48"/>
      <w:szCs w:val="48"/>
    </w:rPr>
  </w:style>
  <w:style w:type="paragraph" w:styleId="Ttulo2">
    <w:name w:val="Heading 2"/>
    <w:basedOn w:val="Normal"/>
    <w:next w:val="Normal"/>
    <w:qFormat/>
    <w:pPr>
      <w:keepNext w:val="true"/>
      <w:keepLines/>
      <w:spacing w:before="360" w:after="80"/>
      <w:outlineLvl w:val="1"/>
    </w:pPr>
    <w:rPr>
      <w:b/>
      <w:sz w:val="36"/>
      <w:szCs w:val="36"/>
    </w:rPr>
  </w:style>
  <w:style w:type="paragraph" w:styleId="Ttulo3">
    <w:name w:val="Heading 3"/>
    <w:basedOn w:val="Normal"/>
    <w:next w:val="Normal"/>
    <w:qFormat/>
    <w:pPr>
      <w:keepNext w:val="true"/>
      <w:keepLines/>
      <w:spacing w:before="280" w:after="80"/>
      <w:outlineLvl w:val="2"/>
    </w:pPr>
    <w:rPr>
      <w:b/>
      <w:sz w:val="28"/>
      <w:szCs w:val="28"/>
    </w:rPr>
  </w:style>
  <w:style w:type="paragraph" w:styleId="Ttulo4">
    <w:name w:val="Heading 4"/>
    <w:basedOn w:val="Normal"/>
    <w:next w:val="Normal"/>
    <w:qFormat/>
    <w:pPr>
      <w:keepNext w:val="true"/>
      <w:keepLines/>
      <w:spacing w:before="240" w:after="40"/>
      <w:outlineLvl w:val="3"/>
    </w:pPr>
    <w:rPr>
      <w:b/>
      <w:sz w:val="24"/>
      <w:szCs w:val="24"/>
    </w:rPr>
  </w:style>
  <w:style w:type="paragraph" w:styleId="Ttulo5">
    <w:name w:val="Heading 5"/>
    <w:basedOn w:val="Normal"/>
    <w:next w:val="Normal"/>
    <w:qFormat/>
    <w:pPr>
      <w:keepNext w:val="true"/>
      <w:keepLines/>
      <w:spacing w:before="220" w:after="40"/>
      <w:outlineLvl w:val="4"/>
    </w:pPr>
    <w:rPr>
      <w:b/>
    </w:rPr>
  </w:style>
  <w:style w:type="paragraph" w:styleId="Ttulo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uiPriority w:val="99"/>
    <w:qFormat/>
    <w:rsid w:val="0087523a"/>
    <w:rPr/>
  </w:style>
  <w:style w:type="character" w:styleId="PiedepginaCar" w:customStyle="1">
    <w:name w:val="Pie de página Car"/>
    <w:basedOn w:val="DefaultParagraphFont"/>
    <w:uiPriority w:val="99"/>
    <w:qFormat/>
    <w:rsid w:val="0087523a"/>
    <w:rPr/>
  </w:style>
  <w:style w:type="character" w:styleId="Pagenumber">
    <w:name w:val="page number"/>
    <w:basedOn w:val="DefaultParagraphFont"/>
    <w:uiPriority w:val="99"/>
    <w:qFormat/>
    <w:rsid w:val="009c33ec"/>
    <w:rPr/>
  </w:style>
  <w:style w:type="character" w:styleId="EnlacedeInternet" w:customStyle="1">
    <w:name w:val="Enlace de Internet"/>
    <w:basedOn w:val="DefaultParagraphFont"/>
    <w:rPr>
      <w:color w:val="0000FF" w:themeColor="hyperlink"/>
      <w:u w:val="single"/>
    </w:rPr>
  </w:style>
  <w:style w:type="character" w:styleId="TextonotapieCar" w:customStyle="1">
    <w:name w:val="Texto nota pie Car"/>
    <w:basedOn w:val="DefaultParagraphFont"/>
    <w:uiPriority w:val="99"/>
    <w:qFormat/>
    <w:rsid w:val="00e40e46"/>
    <w:rPr>
      <w:rFonts w:ascii="Arial" w:hAnsi="Arial" w:cs="Times New Roman"/>
      <w:color w:val="auto"/>
      <w:szCs w:val="20"/>
      <w:lang w:eastAsia="en-US"/>
    </w:rPr>
  </w:style>
  <w:style w:type="character" w:styleId="Ancladenotaalpie">
    <w:name w:val="Ancla de nota al pie"/>
    <w:rPr>
      <w:vertAlign w:val="superscript"/>
    </w:rPr>
  </w:style>
  <w:style w:type="character" w:styleId="FootnoteCharacters">
    <w:name w:val="Footnote Characters"/>
    <w:uiPriority w:val="99"/>
    <w:semiHidden/>
    <w:unhideWhenUsed/>
    <w:qFormat/>
    <w:rsid w:val="00e40e46"/>
    <w:rPr>
      <w:vertAlign w:val="superscript"/>
    </w:rPr>
  </w:style>
  <w:style w:type="character" w:styleId="Caracteresdenotaalpie">
    <w:name w:val="Caracteres de nota al pie"/>
    <w:qFormat/>
    <w:rPr/>
  </w:style>
  <w:style w:type="character" w:styleId="Vietas">
    <w:name w:val="Viñetas"/>
    <w:qFormat/>
    <w:rPr>
      <w:rFonts w:ascii="OpenSymbol" w:hAnsi="OpenSymbol" w:eastAsia="OpenSymbol" w:cs="OpenSymbol"/>
    </w:rPr>
  </w:style>
  <w:style w:type="character" w:styleId="Ancladenotafinal">
    <w:name w:val="Ancla de nota final"/>
    <w:rPr>
      <w:vertAlign w:val="superscript"/>
    </w:rPr>
  </w:style>
  <w:style w:type="character" w:styleId="EndnoteCharacters">
    <w:name w:val="Endnote Characters"/>
    <w:qFormat/>
    <w:rPr>
      <w:vertAlign w:val="superscript"/>
    </w:rPr>
  </w:style>
  <w:style w:type="character" w:styleId="Caracteresdenotafinal">
    <w:name w:val="Caracteres de nota final"/>
    <w:qFormat/>
    <w:rPr/>
  </w:style>
  <w:style w:type="paragraph" w:styleId="Ttulo" w:customStyle="1">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Arial"/>
      <w:i/>
      <w:iCs/>
      <w:sz w:val="24"/>
      <w:szCs w:val="24"/>
    </w:rPr>
  </w:style>
  <w:style w:type="paragraph" w:styleId="Ndice" w:customStyle="1">
    <w:name w:val="Índice"/>
    <w:basedOn w:val="Normal"/>
    <w:qFormat/>
    <w:pPr>
      <w:suppressLineNumbers/>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Titular">
    <w:name w:val="Title"/>
    <w:basedOn w:val="Normal"/>
    <w:next w:val="Cuerpodetexto"/>
    <w:qFormat/>
    <w:pPr>
      <w:keepNext w:val="true"/>
      <w:spacing w:before="240" w:after="120"/>
    </w:pPr>
    <w:rPr>
      <w:rFonts w:ascii="Liberation Sans" w:hAnsi="Liberation Sans" w:eastAsia="Microsoft YaHei" w:cs="Lucida Sans"/>
      <w:sz w:val="28"/>
      <w:szCs w:val="28"/>
    </w:rPr>
  </w:style>
  <w:style w:type="paragraph" w:styleId="Cabeceraypie" w:customStyle="1">
    <w:name w:val="Cabecera y pie"/>
    <w:basedOn w:val="Normal"/>
    <w:qFormat/>
    <w:pPr/>
    <w:rPr/>
  </w:style>
  <w:style w:type="paragraph" w:styleId="Cabecera">
    <w:name w:val="Header"/>
    <w:basedOn w:val="Normal"/>
    <w:link w:val="EncabezadoCar"/>
    <w:uiPriority w:val="99"/>
    <w:unhideWhenUsed/>
    <w:rsid w:val="0087523a"/>
    <w:pPr>
      <w:tabs>
        <w:tab w:val="clear" w:pos="720"/>
        <w:tab w:val="center" w:pos="4252" w:leader="none"/>
        <w:tab w:val="right" w:pos="8504" w:leader="none"/>
      </w:tabs>
      <w:spacing w:lineRule="auto" w:line="240" w:before="0" w:after="0"/>
    </w:pPr>
    <w:rPr/>
  </w:style>
  <w:style w:type="paragraph" w:styleId="Piedepgina">
    <w:name w:val="Footer"/>
    <w:basedOn w:val="Normal"/>
    <w:link w:val="PiedepginaCar"/>
    <w:uiPriority w:val="99"/>
    <w:unhideWhenUsed/>
    <w:rsid w:val="0087523a"/>
    <w:pPr>
      <w:tabs>
        <w:tab w:val="clear" w:pos="720"/>
        <w:tab w:val="center" w:pos="4252" w:leader="none"/>
        <w:tab w:val="right" w:pos="8504" w:leader="none"/>
      </w:tabs>
      <w:spacing w:lineRule="auto" w:line="240" w:before="0" w:after="0"/>
    </w:pPr>
    <w:rPr/>
  </w:style>
  <w:style w:type="paragraph" w:styleId="Organization" w:customStyle="1">
    <w:name w:val="Organization"/>
    <w:basedOn w:val="Normal"/>
    <w:uiPriority w:val="5"/>
    <w:qFormat/>
    <w:rsid w:val="009c33ec"/>
    <w:pPr>
      <w:spacing w:lineRule="auto" w:line="240" w:before="20" w:after="40"/>
    </w:pPr>
    <w:rPr>
      <w:rFonts w:ascii="Cambria" w:hAnsi="Cambria" w:eastAsia="" w:cs="" w:asciiTheme="majorHAnsi" w:cstheme="majorBidi" w:eastAsiaTheme="majorEastAsia" w:hAnsiTheme="majorHAnsi"/>
      <w:b/>
      <w:bCs/>
      <w:caps/>
      <w:color w:val="365F91" w:themeColor="accent1" w:themeShade="bf"/>
      <w:lang w:val="en-US" w:eastAsia="ja-JP"/>
    </w:rPr>
  </w:style>
  <w:style w:type="paragraph" w:styleId="Subttulo">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NormalWeb">
    <w:name w:val="Normal (Web)"/>
    <w:basedOn w:val="Normal"/>
    <w:qFormat/>
    <w:pPr>
      <w:spacing w:lineRule="auto" w:line="240" w:beforeAutospacing="1" w:afterAutospacing="1"/>
    </w:pPr>
    <w:rPr>
      <w:rFonts w:ascii="Times New Roman" w:hAnsi="Times New Roman" w:eastAsia="Times New Roman" w:cs="Times New Roman"/>
      <w:sz w:val="24"/>
      <w:szCs w:val="24"/>
    </w:rPr>
  </w:style>
  <w:style w:type="paragraph" w:styleId="DC1" w:customStyle="1">
    <w:name w:val="DC1"/>
    <w:basedOn w:val="Lista"/>
    <w:qFormat/>
    <w:pPr>
      <w:tabs>
        <w:tab w:val="clear" w:pos="720"/>
        <w:tab w:val="left" w:pos="227" w:leader="none"/>
      </w:tabs>
      <w:spacing w:lineRule="auto" w:line="240" w:before="0" w:after="0"/>
    </w:pPr>
    <w:rPr>
      <w:sz w:val="18"/>
      <w:szCs w:val="18"/>
    </w:rPr>
  </w:style>
  <w:style w:type="paragraph" w:styleId="Estiloparrafos" w:customStyle="1">
    <w:name w:val="Estilo_parrafos"/>
    <w:basedOn w:val="Normal"/>
    <w:qFormat/>
    <w:pPr>
      <w:jc w:val="both"/>
    </w:pPr>
    <w:rPr>
      <w:rFonts w:ascii="Verdana" w:hAnsi="Verdana"/>
      <w:sz w:val="20"/>
      <w:szCs w:val="20"/>
    </w:rPr>
  </w:style>
  <w:style w:type="paragraph" w:styleId="Contenidodelatabla" w:customStyle="1">
    <w:name w:val="Contenido de la tabla"/>
    <w:basedOn w:val="Normal"/>
    <w:qFormat/>
    <w:pPr>
      <w:suppressLineNumbers/>
    </w:pPr>
    <w:rPr/>
  </w:style>
  <w:style w:type="paragraph" w:styleId="Ttulodelatabla" w:customStyle="1">
    <w:name w:val="Título de la tabla"/>
    <w:basedOn w:val="Contenidodelatabla"/>
    <w:qFormat/>
    <w:pPr>
      <w:jc w:val="center"/>
    </w:pPr>
    <w:rPr>
      <w:b/>
      <w:bCs/>
    </w:rPr>
  </w:style>
  <w:style w:type="paragraph" w:styleId="ListParagraph">
    <w:name w:val="List Paragraph"/>
    <w:basedOn w:val="Normal"/>
    <w:uiPriority w:val="34"/>
    <w:qFormat/>
    <w:rsid w:val="00e40e46"/>
    <w:pPr>
      <w:spacing w:lineRule="auto" w:line="360" w:before="0" w:after="0"/>
      <w:ind w:left="720" w:hanging="0"/>
      <w:contextualSpacing/>
    </w:pPr>
    <w:rPr>
      <w:rFonts w:ascii="Arial" w:hAnsi="Arial" w:cs="Times New Roman"/>
      <w:color w:val="auto"/>
      <w:sz w:val="20"/>
      <w:lang w:eastAsia="en-US"/>
    </w:rPr>
  </w:style>
  <w:style w:type="paragraph" w:styleId="Notaalpie">
    <w:name w:val="Footnote Text"/>
    <w:basedOn w:val="Normal"/>
    <w:link w:val="TextonotapieCar"/>
    <w:uiPriority w:val="99"/>
    <w:unhideWhenUsed/>
    <w:rsid w:val="00e40e46"/>
    <w:pPr>
      <w:spacing w:lineRule="auto" w:line="240" w:before="0" w:after="0"/>
    </w:pPr>
    <w:rPr>
      <w:rFonts w:ascii="Arial" w:hAnsi="Arial" w:cs="Times New Roman"/>
      <w:color w:val="auto"/>
      <w:sz w:val="20"/>
      <w:szCs w:val="20"/>
      <w:lang w:eastAsia="en-US"/>
    </w:rPr>
  </w:style>
  <w:style w:type="paragraph" w:styleId="LOnormal">
    <w:name w:val="LO-normal"/>
    <w:qFormat/>
    <w:pPr>
      <w:widowControl/>
      <w:suppressAutoHyphens w:val="true"/>
      <w:bidi w:val="0"/>
      <w:spacing w:lineRule="auto" w:line="276" w:before="0" w:after="200"/>
      <w:jc w:val="left"/>
    </w:pPr>
    <w:rPr>
      <w:rFonts w:ascii="Calibri" w:hAnsi="Calibri" w:eastAsia="Calibri" w:cs="Calibri"/>
      <w:color w:val="00000A"/>
      <w:kern w:val="0"/>
      <w:sz w:val="20"/>
      <w:szCs w:val="22"/>
      <w:lang w:val="es-ES" w:eastAsia="es-ES"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Sombreadoclaro-nfasis11">
    <w:name w:val="Sombreado claro - Énfasis 11"/>
    <w:basedOn w:val="Tablanormal"/>
    <w:uiPriority w:val="60"/>
    <w:rsid w:val="0087523a"/>
    <w:rPr>
      <w:color w:val="365F91" w:themeColor="accent1" w:themeShade="bf"/>
    </w:rPr>
    <w:tblPr>
      <w:tblStyleRowBandSize w:val="1"/>
      <w:tblStyleColBandSize w:val="1"/>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dunBv+UX1bSl89IguxlzzYdQZFw==">AMUW2mXGzZswtaDb9sc+a3DebReAHWjTbV/KjMKyr3brKaaLZPXpe1xwcWayWuKftl+jgdDauUv9mqSNuE3aiTwfIeY+X+lLRQz2LBkHv7EgMJJ+839BR0YWhhFJobnF3cJMGuACqpIG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77</TotalTime>
  <Application>LibreOffice/6.3.3.2$Windows_X86_64 LibreOffice_project/a64200df03143b798afd1ec74a12ab50359878ed</Application>
  <Pages>41</Pages>
  <Words>15638</Words>
  <Characters>87277</Characters>
  <CharactersWithSpaces>102468</CharactersWithSpaces>
  <Paragraphs>557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2021-09-07T11:35:00Z</dcterms:created>
  <dc:creator>Esther</dc:creator>
  <dc:description/>
  <dc:language>es-ES</dc:language>
  <cp:lastModifiedBy/>
  <dcterms:modified xsi:type="dcterms:W3CDTF">2025-10-17T09:53:27Z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